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977DE5">
      <w:pPr>
        <w:spacing w:before="0" w:beforeAutospacing="0" w:after="0" w:afterAutospacing="0"/>
        <w:ind w:right="-36"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977DE5">
      <w:pPr>
        <w:pStyle w:val="ConsPlusNormal"/>
        <w:ind w:right="-36"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977DE5">
      <w:pPr>
        <w:pStyle w:val="ConsPlusNormal"/>
        <w:ind w:right="-36"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977DE5" w:rsidRDefault="004A768E" w:rsidP="00977DE5">
      <w:pPr>
        <w:pStyle w:val="ConsPlusNormal"/>
        <w:ind w:right="-36" w:firstLine="5103"/>
        <w:rPr>
          <w:rFonts w:asciiTheme="minorHAnsi" w:hAnsiTheme="minorHAnsi" w:cstheme="minorHAnsi"/>
          <w:sz w:val="24"/>
          <w:szCs w:val="24"/>
        </w:rPr>
      </w:pPr>
      <w:r w:rsidRPr="004A768E">
        <w:rPr>
          <w:rFonts w:asciiTheme="minorHAnsi" w:hAnsiTheme="minorHAnsi" w:cstheme="minorHAnsi"/>
          <w:sz w:val="24"/>
          <w:szCs w:val="24"/>
        </w:rPr>
        <w:t xml:space="preserve">на </w:t>
      </w:r>
      <w:r w:rsidR="00977DE5">
        <w:rPr>
          <w:rFonts w:asciiTheme="minorHAnsi" w:hAnsiTheme="minorHAnsi" w:cstheme="minorHAnsi"/>
          <w:sz w:val="24"/>
          <w:szCs w:val="24"/>
        </w:rPr>
        <w:t xml:space="preserve">оказание услуг по уходу за </w:t>
      </w:r>
    </w:p>
    <w:p w:rsidR="00977DE5" w:rsidRDefault="00977DE5" w:rsidP="00977DE5">
      <w:pPr>
        <w:pStyle w:val="ConsPlusNormal"/>
        <w:ind w:right="-36" w:firstLine="5103"/>
        <w:rPr>
          <w:rFonts w:asciiTheme="minorHAnsi" w:hAnsiTheme="minorHAnsi" w:cstheme="minorHAnsi"/>
          <w:sz w:val="24"/>
          <w:szCs w:val="24"/>
        </w:rPr>
      </w:pPr>
      <w:r>
        <w:rPr>
          <w:rFonts w:asciiTheme="minorHAnsi" w:hAnsiTheme="minorHAnsi" w:cstheme="minorHAnsi"/>
          <w:sz w:val="24"/>
          <w:szCs w:val="24"/>
        </w:rPr>
        <w:t xml:space="preserve">предоставленными во временное пользование </w:t>
      </w:r>
    </w:p>
    <w:p w:rsidR="004A768E" w:rsidRPr="004A768E" w:rsidRDefault="00977DE5" w:rsidP="00977DE5">
      <w:pPr>
        <w:pStyle w:val="ConsPlusNormal"/>
        <w:ind w:right="-36" w:firstLine="5103"/>
        <w:rPr>
          <w:rFonts w:asciiTheme="minorHAnsi" w:hAnsiTheme="minorHAnsi" w:cstheme="minorHAnsi"/>
          <w:sz w:val="24"/>
          <w:szCs w:val="24"/>
        </w:rPr>
      </w:pPr>
      <w:r>
        <w:rPr>
          <w:rFonts w:asciiTheme="minorHAnsi" w:hAnsiTheme="minorHAnsi" w:cstheme="minorHAnsi"/>
          <w:sz w:val="24"/>
          <w:szCs w:val="24"/>
        </w:rPr>
        <w:t>пыле-грязезащитными коврами</w:t>
      </w:r>
    </w:p>
    <w:p w:rsidR="004A768E" w:rsidRDefault="004A768E" w:rsidP="00CB7B94">
      <w:pPr>
        <w:pStyle w:val="ConsPlusNormal"/>
        <w:ind w:firstLine="5103"/>
        <w:jc w:val="both"/>
        <w:outlineLvl w:val="0"/>
        <w:rPr>
          <w:rFonts w:asciiTheme="minorHAnsi" w:hAnsiTheme="minorHAnsi" w:cstheme="minorHAnsi"/>
          <w:sz w:val="24"/>
          <w:szCs w:val="24"/>
        </w:rPr>
      </w:pPr>
    </w:p>
    <w:p w:rsidR="00977DE5" w:rsidRPr="004A768E" w:rsidRDefault="00977DE5"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977DE5" w:rsidRDefault="004A768E" w:rsidP="00977DE5">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977DE5" w:rsidRPr="00977DE5">
        <w:rPr>
          <w:rFonts w:hAnsi="Times New Roman" w:cs="Times New Roman"/>
          <w:b/>
          <w:bCs/>
          <w:color w:val="000000"/>
          <w:sz w:val="24"/>
          <w:szCs w:val="24"/>
          <w:lang w:val="ru-RU"/>
        </w:rPr>
        <w:t>оказание услуг по уходу за</w:t>
      </w:r>
      <w:r w:rsidR="00977DE5">
        <w:rPr>
          <w:rFonts w:hAnsi="Times New Roman" w:cs="Times New Roman"/>
          <w:b/>
          <w:bCs/>
          <w:color w:val="000000"/>
          <w:sz w:val="24"/>
          <w:szCs w:val="24"/>
          <w:lang w:val="ru-RU"/>
        </w:rPr>
        <w:t xml:space="preserve"> </w:t>
      </w:r>
      <w:r w:rsidR="00977DE5" w:rsidRPr="00977DE5">
        <w:rPr>
          <w:rFonts w:hAnsi="Times New Roman" w:cs="Times New Roman"/>
          <w:b/>
          <w:bCs/>
          <w:color w:val="000000"/>
          <w:sz w:val="24"/>
          <w:szCs w:val="24"/>
          <w:lang w:val="ru-RU"/>
        </w:rPr>
        <w:t>предоставленными во временное пользование</w:t>
      </w:r>
      <w:r w:rsidR="00977DE5">
        <w:rPr>
          <w:rFonts w:hAnsi="Times New Roman" w:cs="Times New Roman"/>
          <w:b/>
          <w:bCs/>
          <w:color w:val="000000"/>
          <w:sz w:val="24"/>
          <w:szCs w:val="24"/>
          <w:lang w:val="ru-RU"/>
        </w:rPr>
        <w:t xml:space="preserve"> </w:t>
      </w:r>
    </w:p>
    <w:p w:rsidR="00977DE5" w:rsidRDefault="00977DE5" w:rsidP="00977DE5">
      <w:pPr>
        <w:spacing w:before="0" w:beforeAutospacing="0" w:after="0" w:afterAutospacing="0"/>
        <w:jc w:val="center"/>
        <w:rPr>
          <w:rFonts w:hAnsi="Times New Roman" w:cs="Times New Roman"/>
          <w:b/>
          <w:bCs/>
          <w:color w:val="000000"/>
          <w:sz w:val="24"/>
          <w:szCs w:val="24"/>
          <w:lang w:val="ru-RU"/>
        </w:rPr>
      </w:pPr>
      <w:r w:rsidRPr="00977DE5">
        <w:rPr>
          <w:rFonts w:hAnsi="Times New Roman" w:cs="Times New Roman"/>
          <w:b/>
          <w:bCs/>
          <w:color w:val="000000"/>
          <w:sz w:val="24"/>
          <w:szCs w:val="24"/>
          <w:lang w:val="ru-RU"/>
        </w:rPr>
        <w:t>пыле-грязезащитными коврами</w:t>
      </w:r>
    </w:p>
    <w:p w:rsidR="00977DE5" w:rsidRPr="004A768E" w:rsidRDefault="00977DE5" w:rsidP="00977DE5">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977DE5"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977DE5"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bookmarkStart w:id="0" w:name="_GoBack"/>
            <w:bookmarkEnd w:id="0"/>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w:t>
            </w:r>
            <w:r w:rsidRPr="00B5467D">
              <w:rPr>
                <w:rFonts w:ascii="Times New Roman" w:eastAsia="Calibri" w:hAnsi="Times New Roman" w:cs="Times New Roman"/>
                <w:bCs/>
                <w:sz w:val="24"/>
                <w:szCs w:val="24"/>
                <w:lang w:val="ru-RU"/>
              </w:rPr>
              <w:lastRenderedPageBreak/>
              <w:t xml:space="preserve">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715695">
      <w:footerReference w:type="even" r:id="rId11"/>
      <w:footerReference w:type="default" r:id="rId12"/>
      <w:headerReference w:type="first" r:id="rId13"/>
      <w:footerReference w:type="first" r:id="rId14"/>
      <w:pgSz w:w="11900" w:h="16820"/>
      <w:pgMar w:top="907" w:right="737" w:bottom="907"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62250"/>
      <w:docPartObj>
        <w:docPartGallery w:val="Page Numbers (Bottom of Page)"/>
        <w:docPartUnique/>
      </w:docPartObj>
    </w:sdtPr>
    <w:sdtEndPr/>
    <w:sdtContent>
      <w:p w:rsidR="00866959" w:rsidRDefault="00715695" w:rsidP="00715695">
        <w:pPr>
          <w:pStyle w:val="ac"/>
          <w:jc w:val="center"/>
        </w:pPr>
        <w:r>
          <w:fldChar w:fldCharType="begin"/>
        </w:r>
        <w:r>
          <w:instrText>PAGE   \* MERGEFORMAT</w:instrText>
        </w:r>
        <w:r>
          <w:fldChar w:fldCharType="separate"/>
        </w:r>
        <w:r w:rsidR="00977DE5" w:rsidRPr="00977DE5">
          <w:rPr>
            <w:noProof/>
            <w:lang w:val="ru-RU"/>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18761"/>
      <w:docPartObj>
        <w:docPartGallery w:val="Page Numbers (Bottom of Page)"/>
        <w:docPartUnique/>
      </w:docPartObj>
    </w:sdtPr>
    <w:sdtEndPr/>
    <w:sdtContent>
      <w:p w:rsidR="00715695" w:rsidRDefault="00715695" w:rsidP="00715695">
        <w:pPr>
          <w:pStyle w:val="ac"/>
          <w:jc w:val="center"/>
        </w:pPr>
        <w:r>
          <w:fldChar w:fldCharType="begin"/>
        </w:r>
        <w:r>
          <w:instrText>PAGE   \* MERGEFORMAT</w:instrText>
        </w:r>
        <w:r>
          <w:fldChar w:fldCharType="separate"/>
        </w:r>
        <w:r w:rsidR="00977DE5" w:rsidRPr="00977DE5">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4544D"/>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56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77DE5"/>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05FE0"/>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0543-54C6-4EF7-9658-0BAC2278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2023-06-13T09:26:00Z</cp:lastPrinted>
  <dcterms:created xsi:type="dcterms:W3CDTF">2022-05-20T09:00:00Z</dcterms:created>
  <dcterms:modified xsi:type="dcterms:W3CDTF">2023-11-24T10:13:00Z</dcterms:modified>
</cp:coreProperties>
</file>