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Default="00CA0FE8" w:rsidP="00CA0FE8">
      <w:pPr>
        <w:pStyle w:val="ConsPlusNormal"/>
        <w:jc w:val="center"/>
        <w:outlineLvl w:val="0"/>
        <w:rPr>
          <w:b/>
          <w:sz w:val="24"/>
          <w:szCs w:val="24"/>
        </w:rPr>
      </w:pPr>
      <w:r>
        <w:rPr>
          <w:b/>
          <w:sz w:val="24"/>
          <w:szCs w:val="24"/>
        </w:rPr>
        <w:t xml:space="preserve">на </w:t>
      </w:r>
      <w:r w:rsidR="00BB44D8">
        <w:rPr>
          <w:b/>
          <w:sz w:val="24"/>
          <w:szCs w:val="24"/>
        </w:rPr>
        <w:t>оказание услуг по техническому обслуживанию лифтов в строениях ИПУ РАН</w:t>
      </w:r>
    </w:p>
    <w:p w:rsidR="00CA0FE8" w:rsidRPr="009C659E" w:rsidRDefault="00CA0FE8" w:rsidP="00CA0FE8">
      <w:pPr>
        <w:pStyle w:val="ConsPlusNormal"/>
        <w:jc w:val="center"/>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00BB44D8">
              <w:rPr>
                <w:rFonts w:cs="Times New Roman"/>
                <w:bCs/>
                <w:sz w:val="24"/>
                <w:szCs w:val="24"/>
              </w:rPr>
              <w:t xml:space="preserve">8 (495) 198-17-20, </w:t>
            </w:r>
            <w:r w:rsidR="00BB44D8">
              <w:rPr>
                <w:rFonts w:cs="Times New Roman"/>
                <w:bCs/>
                <w:sz w:val="24"/>
                <w:szCs w:val="24"/>
              </w:rPr>
              <w:br/>
              <w:t>доб.</w:t>
            </w:r>
            <w:r w:rsidR="00545C11">
              <w:rPr>
                <w:rFonts w:cs="Times New Roman"/>
                <w:bCs/>
                <w:sz w:val="24"/>
                <w:szCs w:val="24"/>
              </w:rPr>
              <w:t xml:space="preserve"> 1</w:t>
            </w:r>
            <w:r w:rsidR="00B80F30">
              <w:rPr>
                <w:rFonts w:cs="Times New Roman"/>
                <w:bCs/>
                <w:sz w:val="24"/>
                <w:szCs w:val="24"/>
              </w:rPr>
              <w:t>0</w:t>
            </w:r>
            <w:r w:rsidR="00545C11">
              <w:rPr>
                <w:rFonts w:cs="Times New Roman"/>
                <w:bCs/>
                <w:sz w:val="24"/>
                <w:szCs w:val="24"/>
              </w:rPr>
              <w:t>0</w:t>
            </w:r>
            <w:r w:rsidR="00B80F30">
              <w:rPr>
                <w:rFonts w:cs="Times New Roman"/>
                <w:bCs/>
                <w:sz w:val="24"/>
                <w:szCs w:val="24"/>
              </w:rPr>
              <w:t>0</w:t>
            </w:r>
            <w:r w:rsidR="00545C11">
              <w:rPr>
                <w:rFonts w:cs="Times New Roman"/>
                <w:bCs/>
                <w:sz w:val="24"/>
                <w:szCs w:val="24"/>
              </w:rPr>
              <w:t>,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2F09DC"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D5A76" w:rsidRPr="00621123" w:rsidRDefault="000D5A76" w:rsidP="00BB44D8">
            <w:pPr>
              <w:pStyle w:val="ConsPlusNormal"/>
              <w:rPr>
                <w:sz w:val="24"/>
                <w:szCs w:val="24"/>
              </w:rPr>
            </w:pPr>
            <w:r w:rsidRPr="000D5A76">
              <w:rPr>
                <w:sz w:val="24"/>
                <w:szCs w:val="24"/>
              </w:rPr>
              <w:t>2</w:t>
            </w:r>
            <w:r w:rsidR="00BB44D8">
              <w:rPr>
                <w:sz w:val="24"/>
                <w:szCs w:val="24"/>
              </w:rPr>
              <w:t>4</w:t>
            </w:r>
            <w:r>
              <w:rPr>
                <w:sz w:val="24"/>
                <w:szCs w:val="24"/>
              </w:rPr>
              <w:t xml:space="preserve"> </w:t>
            </w:r>
            <w:r w:rsidRPr="000D5A76">
              <w:rPr>
                <w:sz w:val="24"/>
                <w:szCs w:val="24"/>
              </w:rPr>
              <w:t>1</w:t>
            </w:r>
            <w:r>
              <w:rPr>
                <w:sz w:val="24"/>
                <w:szCs w:val="24"/>
              </w:rPr>
              <w:t xml:space="preserve"> </w:t>
            </w:r>
            <w:r w:rsidRPr="000D5A76">
              <w:rPr>
                <w:sz w:val="24"/>
                <w:szCs w:val="24"/>
              </w:rPr>
              <w:t>7728013512</w:t>
            </w:r>
            <w:r>
              <w:rPr>
                <w:sz w:val="24"/>
                <w:szCs w:val="24"/>
              </w:rPr>
              <w:t xml:space="preserve"> </w:t>
            </w:r>
            <w:r w:rsidRPr="003A485D">
              <w:rPr>
                <w:sz w:val="24"/>
                <w:szCs w:val="24"/>
              </w:rPr>
              <w:t xml:space="preserve">772801001 </w:t>
            </w:r>
            <w:r w:rsidR="00CA0FE8">
              <w:rPr>
                <w:sz w:val="24"/>
                <w:szCs w:val="24"/>
              </w:rPr>
              <w:t>0</w:t>
            </w:r>
            <w:r w:rsidR="00BB44D8">
              <w:rPr>
                <w:sz w:val="24"/>
                <w:szCs w:val="24"/>
              </w:rPr>
              <w:t>101</w:t>
            </w:r>
            <w:r w:rsidR="000B4964">
              <w:rPr>
                <w:sz w:val="24"/>
                <w:szCs w:val="24"/>
              </w:rPr>
              <w:t xml:space="preserve"> </w:t>
            </w:r>
            <w:r w:rsidR="00127E4D" w:rsidRPr="00452AF3">
              <w:rPr>
                <w:sz w:val="24"/>
                <w:szCs w:val="24"/>
              </w:rPr>
              <w:t>00</w:t>
            </w:r>
            <w:r w:rsidR="00CA0FE8">
              <w:rPr>
                <w:sz w:val="24"/>
                <w:szCs w:val="24"/>
              </w:rPr>
              <w:t>1</w:t>
            </w:r>
            <w:r w:rsidR="00286541">
              <w:rPr>
                <w:sz w:val="24"/>
                <w:szCs w:val="24"/>
              </w:rPr>
              <w:t xml:space="preserve"> </w:t>
            </w:r>
            <w:r w:rsidR="00BB44D8">
              <w:rPr>
                <w:sz w:val="24"/>
                <w:szCs w:val="24"/>
              </w:rPr>
              <w:t>4329</w:t>
            </w:r>
            <w:r w:rsidRPr="003A485D">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BB44D8" w:rsidP="00286541">
            <w:pPr>
              <w:pStyle w:val="ConsPlusNormal"/>
              <w:jc w:val="both"/>
              <w:rPr>
                <w:sz w:val="24"/>
                <w:szCs w:val="24"/>
              </w:rPr>
            </w:pPr>
            <w:r>
              <w:rPr>
                <w:sz w:val="24"/>
                <w:szCs w:val="24"/>
              </w:rPr>
              <w:t>О</w:t>
            </w:r>
            <w:r w:rsidRPr="00BB44D8">
              <w:rPr>
                <w:sz w:val="24"/>
                <w:szCs w:val="24"/>
              </w:rPr>
              <w:t>казание услуг по техническому обслуживанию лифтов в строениях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B0436A" w:rsidRPr="00C139D6" w:rsidRDefault="009F3309" w:rsidP="00BB44D8">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ОКПД 2:</w:t>
            </w:r>
            <w:r w:rsidR="00286541">
              <w:rPr>
                <w:rFonts w:eastAsia="Times New Roman" w:cs="Times New Roman"/>
                <w:bCs/>
                <w:sz w:val="24"/>
                <w:szCs w:val="24"/>
                <w:shd w:val="clear" w:color="auto" w:fill="FFFFFF"/>
                <w:lang w:eastAsia="zh-CN"/>
              </w:rPr>
              <w:t xml:space="preserve"> </w:t>
            </w:r>
            <w:r w:rsidR="00BB44D8">
              <w:rPr>
                <w:rFonts w:eastAsia="Times New Roman" w:cs="Times New Roman"/>
                <w:bCs/>
                <w:sz w:val="24"/>
                <w:szCs w:val="24"/>
                <w:lang w:eastAsia="ru-RU"/>
              </w:rPr>
              <w:t>43.29.19.110 – Работы по монтажу лифтов, эскалаторов, и движущихся тротуаров, требующие специальной квалификации, включая ремонт и техническое обслуживание</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CA0FE8" w:rsidP="00545C11">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324969" w:rsidRPr="00324969" w:rsidRDefault="00324969" w:rsidP="00324969">
            <w:pPr>
              <w:pStyle w:val="ConsPlusNormal"/>
              <w:jc w:val="both"/>
              <w:rPr>
                <w:sz w:val="24"/>
                <w:szCs w:val="24"/>
              </w:rPr>
            </w:pPr>
            <w:r w:rsidRPr="00324969">
              <w:rPr>
                <w:sz w:val="24"/>
                <w:szCs w:val="24"/>
              </w:rPr>
              <w:t>Невозможно определить количество (объем) закупаемых товаров, работ, услуг</w:t>
            </w:r>
            <w:r>
              <w:rPr>
                <w:sz w:val="24"/>
                <w:szCs w:val="24"/>
              </w:rPr>
              <w:t>.</w:t>
            </w:r>
          </w:p>
          <w:p w:rsidR="00324969" w:rsidRDefault="00324969" w:rsidP="00324969">
            <w:pPr>
              <w:pStyle w:val="ConsPlusNormal"/>
              <w:jc w:val="both"/>
              <w:rPr>
                <w:sz w:val="24"/>
                <w:szCs w:val="24"/>
              </w:rPr>
            </w:pPr>
          </w:p>
          <w:p w:rsidR="00CA0FE8" w:rsidRDefault="00324969" w:rsidP="00324969">
            <w:pPr>
              <w:pStyle w:val="ConsPlusNormal"/>
              <w:jc w:val="both"/>
              <w:rPr>
                <w:sz w:val="24"/>
                <w:szCs w:val="24"/>
              </w:rPr>
            </w:pPr>
            <w:r w:rsidRPr="00324969">
              <w:rPr>
                <w:sz w:val="24"/>
                <w:szCs w:val="24"/>
              </w:rPr>
              <w:t>В соответствии c ч. 24 ст. 22 Закона № 44-ФЗ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на участие в закупке и документации о закупке.</w:t>
            </w:r>
          </w:p>
          <w:p w:rsidR="00324969" w:rsidRPr="00CA0FE8" w:rsidRDefault="00324969" w:rsidP="00CA0FE8">
            <w:pPr>
              <w:pStyle w:val="ConsPlusNormal"/>
              <w:jc w:val="both"/>
              <w:rPr>
                <w:sz w:val="24"/>
                <w:szCs w:val="24"/>
              </w:rPr>
            </w:pPr>
          </w:p>
          <w:p w:rsidR="005D01B2" w:rsidRPr="00324969" w:rsidRDefault="00CA0FE8" w:rsidP="00CA0FE8">
            <w:pPr>
              <w:pStyle w:val="ConsPlusNormal"/>
              <w:jc w:val="both"/>
              <w:rPr>
                <w:sz w:val="24"/>
                <w:szCs w:val="24"/>
              </w:rPr>
            </w:pPr>
            <w:r w:rsidRPr="00324969">
              <w:rPr>
                <w:sz w:val="24"/>
                <w:szCs w:val="24"/>
              </w:rPr>
              <w:t xml:space="preserve">Место </w:t>
            </w:r>
            <w:r w:rsidR="00324969" w:rsidRPr="00324969">
              <w:rPr>
                <w:sz w:val="24"/>
                <w:szCs w:val="24"/>
              </w:rPr>
              <w:t>оказания услуги:</w:t>
            </w:r>
            <w:r w:rsidR="00324969">
              <w:rPr>
                <w:sz w:val="24"/>
                <w:szCs w:val="24"/>
              </w:rPr>
              <w:t xml:space="preserve"> г. Москва, </w:t>
            </w:r>
            <w:r w:rsidRPr="00324969">
              <w:rPr>
                <w:sz w:val="24"/>
                <w:szCs w:val="24"/>
              </w:rPr>
              <w:t xml:space="preserve">ул. Профсоюзная, д. 65, </w:t>
            </w:r>
            <w:r w:rsidR="00BB44D8">
              <w:rPr>
                <w:sz w:val="24"/>
                <w:szCs w:val="24"/>
              </w:rPr>
              <w:t xml:space="preserve">стр. 1, 2 </w:t>
            </w:r>
            <w:r w:rsidRPr="00324969">
              <w:rPr>
                <w:sz w:val="24"/>
                <w:szCs w:val="24"/>
              </w:rPr>
              <w:t>ИПУ РАН</w:t>
            </w: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324969" w:rsidRDefault="00324969" w:rsidP="00286541">
            <w:pPr>
              <w:pStyle w:val="ConsPlusNormal"/>
              <w:jc w:val="both"/>
              <w:rPr>
                <w:sz w:val="24"/>
                <w:szCs w:val="24"/>
              </w:rPr>
            </w:pPr>
            <w:r>
              <w:rPr>
                <w:sz w:val="24"/>
                <w:szCs w:val="24"/>
              </w:rPr>
              <w:t>Срок оказания услуг: с даты заключения Контракта в течение 12 (двенадцати) месяцев.</w:t>
            </w:r>
          </w:p>
          <w:p w:rsidR="00D2151A" w:rsidRPr="00621123" w:rsidRDefault="00324969" w:rsidP="00BB44D8">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с даты заключения </w:t>
            </w:r>
            <w:r w:rsidR="00545C11">
              <w:rPr>
                <w:sz w:val="24"/>
                <w:szCs w:val="24"/>
              </w:rPr>
              <w:t>К</w:t>
            </w:r>
            <w:r w:rsidR="0065251F" w:rsidRPr="0065251F">
              <w:rPr>
                <w:sz w:val="24"/>
                <w:szCs w:val="24"/>
              </w:rPr>
              <w:t xml:space="preserve">онтракта </w:t>
            </w:r>
            <w:r w:rsidR="0065251F" w:rsidRPr="00F66687">
              <w:rPr>
                <w:sz w:val="24"/>
                <w:szCs w:val="24"/>
              </w:rPr>
              <w:t xml:space="preserve">по </w:t>
            </w:r>
            <w:r w:rsidR="00420275" w:rsidRPr="001B5D94">
              <w:rPr>
                <w:sz w:val="24"/>
                <w:szCs w:val="24"/>
              </w:rPr>
              <w:t>28.02.202</w:t>
            </w:r>
            <w:r w:rsidR="00BB44D8">
              <w:rPr>
                <w:sz w:val="24"/>
                <w:szCs w:val="24"/>
              </w:rPr>
              <w:t>6</w:t>
            </w:r>
            <w:r w:rsidR="0063490E" w:rsidRPr="001B5D94">
              <w:rPr>
                <w:sz w:val="24"/>
                <w:szCs w:val="24"/>
              </w:rPr>
              <w:t>.</w:t>
            </w:r>
          </w:p>
        </w:tc>
      </w:tr>
      <w:tr w:rsidR="00D2151A" w:rsidRPr="00621123" w:rsidTr="00C139D6">
        <w:trPr>
          <w:trHeight w:val="45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420275" w:rsidRPr="00420275" w:rsidRDefault="00420275" w:rsidP="001E4D72">
            <w:pPr>
              <w:pStyle w:val="ConsPlusNormal"/>
              <w:jc w:val="both"/>
              <w:rPr>
                <w:b/>
                <w:bCs/>
                <w:sz w:val="24"/>
                <w:szCs w:val="24"/>
              </w:rPr>
            </w:pPr>
            <w:r>
              <w:rPr>
                <w:b/>
                <w:bCs/>
                <w:sz w:val="24"/>
                <w:szCs w:val="24"/>
              </w:rPr>
              <w:t xml:space="preserve">Максимальное значение цены Контракта – </w:t>
            </w:r>
            <w:r w:rsidR="00BB44D8">
              <w:rPr>
                <w:b/>
                <w:bCs/>
                <w:sz w:val="24"/>
                <w:szCs w:val="24"/>
              </w:rPr>
              <w:t>50</w:t>
            </w:r>
            <w:r w:rsidRPr="00420275">
              <w:rPr>
                <w:b/>
                <w:bCs/>
                <w:sz w:val="24"/>
                <w:szCs w:val="24"/>
              </w:rPr>
              <w:t>0 000</w:t>
            </w:r>
            <w:r w:rsidRPr="00420275">
              <w:rPr>
                <w:bCs/>
                <w:sz w:val="24"/>
                <w:szCs w:val="24"/>
              </w:rPr>
              <w:t xml:space="preserve"> (</w:t>
            </w:r>
            <w:r w:rsidR="00BB44D8">
              <w:rPr>
                <w:bCs/>
                <w:sz w:val="24"/>
                <w:szCs w:val="24"/>
              </w:rPr>
              <w:t>Пятьсот тысяч</w:t>
            </w:r>
            <w:r w:rsidRPr="00420275">
              <w:rPr>
                <w:bCs/>
                <w:sz w:val="24"/>
                <w:szCs w:val="24"/>
              </w:rPr>
              <w:t>)</w:t>
            </w:r>
            <w:r>
              <w:rPr>
                <w:bCs/>
                <w:sz w:val="24"/>
                <w:szCs w:val="24"/>
              </w:rPr>
              <w:t xml:space="preserve"> </w:t>
            </w:r>
            <w:r w:rsidR="00BB44D8">
              <w:rPr>
                <w:b/>
                <w:bCs/>
                <w:sz w:val="24"/>
                <w:szCs w:val="24"/>
              </w:rPr>
              <w:t xml:space="preserve">рублей </w:t>
            </w:r>
            <w:r w:rsidRPr="00420275">
              <w:rPr>
                <w:b/>
                <w:bCs/>
                <w:sz w:val="24"/>
                <w:szCs w:val="24"/>
              </w:rPr>
              <w:t>00 копеек</w:t>
            </w:r>
            <w:r w:rsidRPr="00420275">
              <w:rPr>
                <w:bCs/>
                <w:sz w:val="24"/>
                <w:szCs w:val="24"/>
              </w:rPr>
              <w:t>, в том числе</w:t>
            </w:r>
            <w:r w:rsidRPr="00420275">
              <w:rPr>
                <w:b/>
                <w:bCs/>
                <w:sz w:val="24"/>
                <w:szCs w:val="24"/>
              </w:rPr>
              <w:t xml:space="preserve"> </w:t>
            </w:r>
            <w:r w:rsidRPr="00420275">
              <w:rPr>
                <w:bCs/>
                <w:sz w:val="24"/>
                <w:szCs w:val="24"/>
              </w:rPr>
              <w:t xml:space="preserve">НДС 20% - </w:t>
            </w:r>
            <w:r w:rsidR="00BB44D8">
              <w:rPr>
                <w:bCs/>
                <w:sz w:val="24"/>
                <w:szCs w:val="24"/>
              </w:rPr>
              <w:t>83 333,33</w:t>
            </w:r>
            <w:r w:rsidRPr="00420275">
              <w:rPr>
                <w:bCs/>
                <w:sz w:val="24"/>
                <w:szCs w:val="24"/>
              </w:rPr>
              <w:t xml:space="preserve"> руб.</w:t>
            </w:r>
          </w:p>
          <w:p w:rsidR="00420275" w:rsidRPr="00420275" w:rsidRDefault="00420275" w:rsidP="001E4D72">
            <w:pPr>
              <w:pStyle w:val="ConsPlusNormal"/>
              <w:jc w:val="both"/>
              <w:rPr>
                <w:b/>
                <w:bCs/>
                <w:sz w:val="24"/>
                <w:szCs w:val="24"/>
              </w:rPr>
            </w:pPr>
          </w:p>
          <w:p w:rsidR="00420275" w:rsidRPr="001B5D94" w:rsidRDefault="001B5D94" w:rsidP="001E4D72">
            <w:pPr>
              <w:pStyle w:val="ConsPlusNormal"/>
              <w:jc w:val="both"/>
              <w:rPr>
                <w:b/>
                <w:bCs/>
                <w:sz w:val="24"/>
                <w:szCs w:val="24"/>
              </w:rPr>
            </w:pPr>
            <w:r w:rsidRPr="001B5D94">
              <w:rPr>
                <w:b/>
                <w:bCs/>
                <w:sz w:val="24"/>
                <w:szCs w:val="24"/>
              </w:rPr>
              <w:t>Начальная сумма цен единиц услуги</w:t>
            </w:r>
            <w:r>
              <w:rPr>
                <w:b/>
                <w:bCs/>
                <w:sz w:val="24"/>
                <w:szCs w:val="24"/>
              </w:rPr>
              <w:t xml:space="preserve"> – </w:t>
            </w:r>
            <w:r w:rsidR="008A432A">
              <w:rPr>
                <w:b/>
                <w:bCs/>
                <w:sz w:val="24"/>
                <w:szCs w:val="24"/>
              </w:rPr>
              <w:t>25 027</w:t>
            </w:r>
            <w:r w:rsidRPr="001B5D94">
              <w:rPr>
                <w:bCs/>
                <w:sz w:val="24"/>
                <w:szCs w:val="24"/>
              </w:rPr>
              <w:t xml:space="preserve"> (</w:t>
            </w:r>
            <w:r w:rsidR="00BB44D8">
              <w:rPr>
                <w:bCs/>
                <w:sz w:val="24"/>
                <w:szCs w:val="24"/>
              </w:rPr>
              <w:t xml:space="preserve">Двадцать </w:t>
            </w:r>
            <w:r w:rsidR="008A432A">
              <w:rPr>
                <w:bCs/>
                <w:sz w:val="24"/>
                <w:szCs w:val="24"/>
              </w:rPr>
              <w:t>пять тысяч двадцать семь</w:t>
            </w:r>
            <w:r w:rsidRPr="001B5D94">
              <w:rPr>
                <w:bCs/>
                <w:sz w:val="24"/>
                <w:szCs w:val="24"/>
              </w:rPr>
              <w:t>)</w:t>
            </w:r>
            <w:r>
              <w:rPr>
                <w:b/>
                <w:bCs/>
                <w:sz w:val="24"/>
                <w:szCs w:val="24"/>
              </w:rPr>
              <w:t xml:space="preserve"> рубл</w:t>
            </w:r>
            <w:r w:rsidR="008A432A">
              <w:rPr>
                <w:b/>
                <w:bCs/>
                <w:sz w:val="24"/>
                <w:szCs w:val="24"/>
              </w:rPr>
              <w:t>ей</w:t>
            </w:r>
            <w:r>
              <w:rPr>
                <w:b/>
                <w:bCs/>
                <w:sz w:val="24"/>
                <w:szCs w:val="24"/>
              </w:rPr>
              <w:t xml:space="preserve"> </w:t>
            </w:r>
            <w:r w:rsidR="008A432A">
              <w:rPr>
                <w:b/>
                <w:bCs/>
                <w:sz w:val="24"/>
                <w:szCs w:val="24"/>
              </w:rPr>
              <w:t>34</w:t>
            </w:r>
            <w:r>
              <w:rPr>
                <w:b/>
                <w:bCs/>
                <w:sz w:val="24"/>
                <w:szCs w:val="24"/>
              </w:rPr>
              <w:t xml:space="preserve"> копе</w:t>
            </w:r>
            <w:r w:rsidR="008A432A">
              <w:rPr>
                <w:b/>
                <w:bCs/>
                <w:sz w:val="24"/>
                <w:szCs w:val="24"/>
              </w:rPr>
              <w:t>йки</w:t>
            </w:r>
            <w:r>
              <w:rPr>
                <w:b/>
                <w:bCs/>
                <w:sz w:val="24"/>
                <w:szCs w:val="24"/>
              </w:rPr>
              <w:t xml:space="preserve">, </w:t>
            </w:r>
            <w:r w:rsidRPr="001B5D94">
              <w:rPr>
                <w:bCs/>
                <w:sz w:val="24"/>
                <w:szCs w:val="24"/>
              </w:rPr>
              <w:t xml:space="preserve">в том числе НДС 20% - </w:t>
            </w:r>
            <w:r w:rsidR="008A432A">
              <w:rPr>
                <w:bCs/>
                <w:sz w:val="24"/>
                <w:szCs w:val="24"/>
              </w:rPr>
              <w:t>4 171,22</w:t>
            </w:r>
            <w:r w:rsidRPr="001B5D94">
              <w:rPr>
                <w:bCs/>
                <w:sz w:val="24"/>
                <w:szCs w:val="24"/>
              </w:rPr>
              <w:t xml:space="preserve"> руб.</w:t>
            </w:r>
          </w:p>
          <w:p w:rsidR="00420275" w:rsidRDefault="00420275" w:rsidP="001E4D72">
            <w:pPr>
              <w:pStyle w:val="ConsPlusNormal"/>
              <w:jc w:val="both"/>
              <w:rPr>
                <w:b/>
                <w:bCs/>
                <w:sz w:val="24"/>
                <w:szCs w:val="24"/>
              </w:rPr>
            </w:pPr>
          </w:p>
          <w:p w:rsidR="00D2151A" w:rsidRPr="00ED264A" w:rsidRDefault="00D2151A" w:rsidP="001E4D72">
            <w:pPr>
              <w:pStyle w:val="ConsPlusNormal"/>
              <w:jc w:val="both"/>
              <w:rPr>
                <w:sz w:val="24"/>
                <w:szCs w:val="24"/>
              </w:rPr>
            </w:pP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w:t>
            </w:r>
            <w:r w:rsidR="00BB44D8">
              <w:rPr>
                <w:sz w:val="24"/>
                <w:szCs w:val="24"/>
              </w:rPr>
              <w:t>5</w:t>
            </w:r>
            <w:r w:rsidR="000A6DAD">
              <w:rPr>
                <w:sz w:val="24"/>
                <w:szCs w:val="24"/>
              </w:rPr>
              <w:t xml:space="preserve"> г.</w:t>
            </w:r>
          </w:p>
          <w:p w:rsidR="00FB2A93" w:rsidRPr="003B4304" w:rsidRDefault="00FB2A93" w:rsidP="00F04309">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lastRenderedPageBreak/>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DB720A">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AA78C3">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4C54DE">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4C54DE">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F5631B" w:rsidRPr="00B46CF1" w:rsidRDefault="00B46CF1" w:rsidP="004C54DE">
            <w:pPr>
              <w:pStyle w:val="ConsPlusNormal"/>
              <w:rPr>
                <w:sz w:val="24"/>
                <w:szCs w:val="24"/>
              </w:rPr>
            </w:pPr>
            <w:r w:rsidRPr="00B46CF1">
              <w:rPr>
                <w:sz w:val="24"/>
                <w:szCs w:val="24"/>
              </w:rPr>
              <w:t>Не у</w:t>
            </w:r>
            <w:r w:rsidR="004659E8" w:rsidRPr="00B46CF1">
              <w:rPr>
                <w:sz w:val="24"/>
                <w:szCs w:val="24"/>
              </w:rPr>
              <w:t>становлено</w:t>
            </w:r>
          </w:p>
          <w:p w:rsidR="002A6F2A" w:rsidRPr="0001026F" w:rsidRDefault="002A6F2A" w:rsidP="00C370B8">
            <w:pPr>
              <w:pStyle w:val="ConsPlusNormal"/>
              <w:tabs>
                <w:tab w:val="left" w:pos="2980"/>
              </w:tabs>
              <w:jc w:val="both"/>
              <w:rPr>
                <w:b/>
                <w:bCs/>
                <w:i/>
                <w:sz w:val="24"/>
                <w:szCs w:val="24"/>
              </w:rPr>
            </w:pP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01026F" w:rsidRDefault="00A56968" w:rsidP="00A63F55">
            <w:pPr>
              <w:pStyle w:val="ConsPlusNormal"/>
              <w:rPr>
                <w:sz w:val="24"/>
                <w:szCs w:val="24"/>
              </w:rPr>
            </w:pPr>
            <w:r w:rsidRPr="0001026F">
              <w:rPr>
                <w:sz w:val="24"/>
                <w:szCs w:val="24"/>
              </w:rPr>
              <w:t xml:space="preserve">Наименование заказчика: </w:t>
            </w:r>
            <w:r w:rsidR="00A63F55" w:rsidRPr="0001026F">
              <w:rPr>
                <w:sz w:val="24"/>
                <w:szCs w:val="24"/>
              </w:rPr>
              <w:br/>
            </w:r>
            <w:r w:rsidRPr="0001026F">
              <w:rPr>
                <w:sz w:val="24"/>
                <w:szCs w:val="24"/>
              </w:rPr>
              <w:t xml:space="preserve">Федеральное государственное бюджетное учреждение науки Институт проблем управления </w:t>
            </w:r>
            <w:r w:rsidR="00A63F55" w:rsidRPr="0001026F">
              <w:rPr>
                <w:sz w:val="24"/>
                <w:szCs w:val="24"/>
              </w:rPr>
              <w:br/>
            </w:r>
            <w:r w:rsidRPr="0001026F">
              <w:rPr>
                <w:sz w:val="24"/>
                <w:szCs w:val="24"/>
              </w:rPr>
              <w:t xml:space="preserve">им. </w:t>
            </w:r>
            <w:r w:rsidR="00A63F55" w:rsidRPr="0001026F">
              <w:rPr>
                <w:sz w:val="24"/>
                <w:szCs w:val="24"/>
              </w:rPr>
              <w:t xml:space="preserve">В.А. </w:t>
            </w:r>
            <w:r w:rsidR="009A1F81" w:rsidRPr="0001026F">
              <w:rPr>
                <w:sz w:val="24"/>
                <w:szCs w:val="24"/>
              </w:rPr>
              <w:t xml:space="preserve">Трапезникова </w:t>
            </w:r>
            <w:r w:rsidRPr="0001026F">
              <w:rPr>
                <w:sz w:val="24"/>
                <w:szCs w:val="24"/>
              </w:rPr>
              <w:t xml:space="preserve">Российской академии наук </w:t>
            </w:r>
            <w:r w:rsidR="005333E6" w:rsidRPr="0001026F">
              <w:rPr>
                <w:sz w:val="24"/>
                <w:szCs w:val="24"/>
              </w:rPr>
              <w:br/>
            </w:r>
            <w:r w:rsidRPr="0001026F">
              <w:rPr>
                <w:sz w:val="24"/>
                <w:szCs w:val="24"/>
              </w:rPr>
              <w:t>(ИПУ РАН)</w:t>
            </w:r>
          </w:p>
          <w:p w:rsidR="00A56968" w:rsidRPr="0001026F" w:rsidRDefault="00F04309" w:rsidP="00A56968">
            <w:pPr>
              <w:pStyle w:val="ConsPlusNormal"/>
              <w:jc w:val="both"/>
              <w:rPr>
                <w:sz w:val="24"/>
                <w:szCs w:val="24"/>
              </w:rPr>
            </w:pPr>
            <w:r w:rsidRPr="0001026F">
              <w:rPr>
                <w:sz w:val="24"/>
                <w:szCs w:val="24"/>
              </w:rPr>
              <w:t xml:space="preserve">ИНН 7728013512 / КПП </w:t>
            </w:r>
            <w:r w:rsidR="00A56968" w:rsidRPr="0001026F">
              <w:rPr>
                <w:sz w:val="24"/>
                <w:szCs w:val="24"/>
              </w:rPr>
              <w:t xml:space="preserve">772801001 </w:t>
            </w:r>
          </w:p>
          <w:p w:rsidR="00A56968" w:rsidRPr="0001026F" w:rsidRDefault="00A56968" w:rsidP="00A56968">
            <w:pPr>
              <w:pStyle w:val="ConsPlusNormal"/>
              <w:jc w:val="both"/>
              <w:rPr>
                <w:sz w:val="24"/>
                <w:szCs w:val="24"/>
              </w:rPr>
            </w:pPr>
            <w:r w:rsidRPr="0001026F">
              <w:rPr>
                <w:sz w:val="24"/>
                <w:szCs w:val="24"/>
              </w:rPr>
              <w:t>Банковские реквизиты: БИК ТОФК 004525988</w:t>
            </w:r>
          </w:p>
          <w:p w:rsidR="00A56968" w:rsidRPr="0001026F" w:rsidRDefault="00A56968" w:rsidP="00A56968">
            <w:pPr>
              <w:pStyle w:val="ConsPlusNormal"/>
              <w:jc w:val="both"/>
              <w:rPr>
                <w:sz w:val="24"/>
                <w:szCs w:val="24"/>
              </w:rPr>
            </w:pPr>
            <w:r w:rsidRPr="0001026F">
              <w:rPr>
                <w:sz w:val="24"/>
                <w:szCs w:val="24"/>
              </w:rPr>
              <w:t xml:space="preserve">ГУ Банка России по ЦФО, УФК по г. Москве  </w:t>
            </w:r>
          </w:p>
          <w:p w:rsidR="00A56968" w:rsidRPr="0001026F" w:rsidRDefault="00A56968" w:rsidP="00A56968">
            <w:pPr>
              <w:pStyle w:val="ConsPlusNormal"/>
              <w:jc w:val="both"/>
              <w:rPr>
                <w:sz w:val="24"/>
                <w:szCs w:val="24"/>
              </w:rPr>
            </w:pPr>
            <w:r w:rsidRPr="0001026F">
              <w:rPr>
                <w:sz w:val="24"/>
                <w:szCs w:val="24"/>
              </w:rPr>
              <w:t>Единый казначейский счет 40102810545370000003</w:t>
            </w:r>
          </w:p>
          <w:p w:rsidR="00A56968" w:rsidRPr="0001026F" w:rsidRDefault="00A56968" w:rsidP="00A56968">
            <w:pPr>
              <w:pStyle w:val="ConsPlusNormal"/>
              <w:jc w:val="both"/>
              <w:rPr>
                <w:sz w:val="24"/>
                <w:szCs w:val="24"/>
              </w:rPr>
            </w:pPr>
            <w:r w:rsidRPr="0001026F">
              <w:rPr>
                <w:sz w:val="24"/>
                <w:szCs w:val="24"/>
              </w:rPr>
              <w:t>Казначейский счет 03214643000000017300</w:t>
            </w:r>
          </w:p>
          <w:p w:rsidR="00D2151A" w:rsidRPr="00621123" w:rsidRDefault="005333E6" w:rsidP="00A56968">
            <w:pPr>
              <w:pStyle w:val="ConsPlusNormal"/>
              <w:jc w:val="both"/>
              <w:rPr>
                <w:sz w:val="24"/>
                <w:szCs w:val="24"/>
              </w:rPr>
            </w:pPr>
            <w:r w:rsidRPr="0001026F">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01026F" w:rsidRDefault="00D2151A">
            <w:pPr>
              <w:pStyle w:val="ConsPlusNormal"/>
              <w:rPr>
                <w:sz w:val="24"/>
                <w:szCs w:val="24"/>
              </w:rPr>
            </w:pPr>
            <w:r w:rsidRPr="0001026F">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B4304" w:rsidRPr="00444B0A" w:rsidRDefault="00251A5C" w:rsidP="00CB637C">
            <w:pPr>
              <w:pStyle w:val="ConsPlusNormal"/>
              <w:jc w:val="both"/>
              <w:rPr>
                <w:b/>
                <w:sz w:val="24"/>
                <w:szCs w:val="24"/>
              </w:rPr>
            </w:pPr>
            <w:r w:rsidRPr="00444B0A">
              <w:rPr>
                <w:sz w:val="24"/>
                <w:szCs w:val="24"/>
              </w:rPr>
              <w:t>О</w:t>
            </w:r>
            <w:r w:rsidR="00CB637C" w:rsidRPr="00444B0A">
              <w:rPr>
                <w:sz w:val="24"/>
                <w:szCs w:val="24"/>
              </w:rPr>
              <w:t xml:space="preserve">беспечение исполнения контракта </w:t>
            </w:r>
            <w:r w:rsidRPr="00444B0A">
              <w:rPr>
                <w:sz w:val="24"/>
                <w:szCs w:val="24"/>
              </w:rPr>
              <w:t xml:space="preserve">предусмотрено в следующем размере: </w:t>
            </w:r>
            <w:r w:rsidR="00CB637C" w:rsidRPr="00444B0A">
              <w:rPr>
                <w:b/>
                <w:sz w:val="24"/>
                <w:szCs w:val="24"/>
              </w:rPr>
              <w:t>10</w:t>
            </w:r>
            <w:r w:rsidR="00CA47F1" w:rsidRPr="00444B0A">
              <w:rPr>
                <w:b/>
                <w:sz w:val="24"/>
                <w:szCs w:val="24"/>
              </w:rPr>
              <w:t xml:space="preserve"> </w:t>
            </w:r>
            <w:r w:rsidR="00CB637C" w:rsidRPr="00444B0A">
              <w:rPr>
                <w:b/>
                <w:sz w:val="24"/>
                <w:szCs w:val="24"/>
              </w:rPr>
              <w:t>% от</w:t>
            </w:r>
            <w:r w:rsidR="00444B0A" w:rsidRPr="00444B0A">
              <w:t xml:space="preserve"> </w:t>
            </w:r>
            <w:r w:rsidR="00444B0A" w:rsidRPr="00444B0A">
              <w:rPr>
                <w:b/>
                <w:sz w:val="24"/>
                <w:szCs w:val="24"/>
              </w:rPr>
              <w:t>максимального значения цены Контракта</w:t>
            </w:r>
            <w:r w:rsidR="00AA6E34" w:rsidRPr="00444B0A">
              <w:rPr>
                <w:sz w:val="24"/>
                <w:szCs w:val="24"/>
              </w:rPr>
              <w:t xml:space="preserve">. </w:t>
            </w:r>
            <w:r w:rsidRPr="00444B0A">
              <w:rPr>
                <w:sz w:val="24"/>
                <w:szCs w:val="24"/>
              </w:rPr>
              <w:t>НДС не облагается.</w:t>
            </w:r>
          </w:p>
          <w:p w:rsidR="002A6F2A" w:rsidRPr="0001026F" w:rsidRDefault="002A6F2A" w:rsidP="00F04309">
            <w:pPr>
              <w:pStyle w:val="ConsPlusNormal"/>
              <w:jc w:val="both"/>
              <w:rPr>
                <w:sz w:val="24"/>
                <w:szCs w:val="24"/>
              </w:rPr>
            </w:pPr>
          </w:p>
          <w:p w:rsidR="002A6F2A" w:rsidRPr="0001026F" w:rsidRDefault="00F04309" w:rsidP="00F04309">
            <w:pPr>
              <w:pStyle w:val="ConsPlusNormal"/>
              <w:jc w:val="both"/>
              <w:rPr>
                <w:sz w:val="24"/>
                <w:szCs w:val="24"/>
              </w:rPr>
            </w:pPr>
            <w:r w:rsidRPr="0001026F">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Default="00F04309" w:rsidP="00F04309">
            <w:pPr>
              <w:pStyle w:val="ConsPlusNormal"/>
              <w:jc w:val="both"/>
              <w:rPr>
                <w:sz w:val="24"/>
                <w:szCs w:val="24"/>
              </w:rPr>
            </w:pPr>
            <w:r w:rsidRPr="0001026F">
              <w:rPr>
                <w:b/>
                <w:sz w:val="24"/>
                <w:szCs w:val="24"/>
              </w:rPr>
              <w:t xml:space="preserve">Способ обеспечения исполнения контракта, срок действия независимой гарантии </w:t>
            </w:r>
            <w:r w:rsidRPr="0001026F">
              <w:rPr>
                <w:sz w:val="24"/>
                <w:szCs w:val="24"/>
              </w:rPr>
              <w:t xml:space="preserve">определяются в соответствии с требованиями Федерального закона </w:t>
            </w:r>
            <w:r w:rsidR="002A6F2A" w:rsidRPr="0001026F">
              <w:rPr>
                <w:sz w:val="24"/>
                <w:szCs w:val="24"/>
              </w:rPr>
              <w:t xml:space="preserve">             </w:t>
            </w:r>
            <w:r w:rsidRPr="0001026F">
              <w:rPr>
                <w:sz w:val="24"/>
                <w:szCs w:val="24"/>
              </w:rPr>
              <w:t>№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B46CF1" w:rsidRPr="0001026F" w:rsidRDefault="00B46CF1" w:rsidP="00F04309">
            <w:pPr>
              <w:pStyle w:val="ConsPlusNormal"/>
              <w:jc w:val="both"/>
              <w:rPr>
                <w:sz w:val="24"/>
                <w:szCs w:val="24"/>
              </w:rPr>
            </w:pPr>
          </w:p>
          <w:p w:rsidR="00B46CF1" w:rsidRDefault="00F04309" w:rsidP="00B46CF1">
            <w:pPr>
              <w:pStyle w:val="ConsPlusNormal"/>
              <w:jc w:val="both"/>
              <w:rPr>
                <w:i/>
                <w:sz w:val="24"/>
                <w:szCs w:val="24"/>
              </w:rPr>
            </w:pPr>
            <w:r w:rsidRPr="0001026F">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01026F">
              <w:rPr>
                <w:i/>
                <w:sz w:val="24"/>
                <w:szCs w:val="24"/>
              </w:rPr>
              <w:t xml:space="preserve">об осуществлении закупки при проведении электронного аукциона на </w:t>
            </w:r>
          </w:p>
          <w:p w:rsidR="00B46CF1" w:rsidRDefault="00AA78C3" w:rsidP="00F04309">
            <w:pPr>
              <w:pStyle w:val="ConsPlusNormal"/>
              <w:jc w:val="both"/>
              <w:rPr>
                <w:i/>
                <w:sz w:val="24"/>
                <w:szCs w:val="24"/>
              </w:rPr>
            </w:pPr>
            <w:r w:rsidRPr="00AA78C3">
              <w:rPr>
                <w:i/>
                <w:sz w:val="24"/>
                <w:szCs w:val="24"/>
              </w:rPr>
              <w:t>оказание услуг по техническому обслуживанию лифтов в строениях ИПУ РАН</w:t>
            </w:r>
          </w:p>
          <w:p w:rsidR="00AA78C3" w:rsidRPr="0001026F" w:rsidRDefault="00AA78C3" w:rsidP="00F04309">
            <w:pPr>
              <w:pStyle w:val="ConsPlusNormal"/>
              <w:jc w:val="both"/>
              <w:rPr>
                <w:i/>
                <w:sz w:val="24"/>
                <w:szCs w:val="24"/>
              </w:rPr>
            </w:pPr>
          </w:p>
          <w:p w:rsidR="00F04309" w:rsidRPr="0001026F" w:rsidRDefault="00F04309" w:rsidP="00F04309">
            <w:pPr>
              <w:pStyle w:val="ConsPlusNormal"/>
              <w:jc w:val="both"/>
              <w:rPr>
                <w:sz w:val="24"/>
                <w:szCs w:val="24"/>
              </w:rPr>
            </w:pPr>
            <w:r w:rsidRPr="0001026F">
              <w:rPr>
                <w:sz w:val="24"/>
                <w:szCs w:val="24"/>
              </w:rPr>
              <w:t>Реквизиты счета для внесения обеспечения исполнения контракта:</w:t>
            </w:r>
          </w:p>
          <w:p w:rsidR="00F04309" w:rsidRPr="0001026F" w:rsidRDefault="00F04309" w:rsidP="00F04309">
            <w:pPr>
              <w:pStyle w:val="ConsPlusNormal"/>
              <w:jc w:val="both"/>
              <w:rPr>
                <w:sz w:val="24"/>
                <w:szCs w:val="24"/>
              </w:rPr>
            </w:pPr>
            <w:r w:rsidRPr="0001026F">
              <w:rPr>
                <w:sz w:val="24"/>
                <w:szCs w:val="24"/>
              </w:rPr>
              <w:t>Наименование заказчика: Федеральное государственное бюджетное учреждение науки Институт проблем упр</w:t>
            </w:r>
            <w:r w:rsidR="009A1F81" w:rsidRPr="0001026F">
              <w:rPr>
                <w:sz w:val="24"/>
                <w:szCs w:val="24"/>
              </w:rPr>
              <w:t xml:space="preserve">авления им. В.А. Трапезникова </w:t>
            </w:r>
            <w:r w:rsidRPr="0001026F">
              <w:rPr>
                <w:sz w:val="24"/>
                <w:szCs w:val="24"/>
              </w:rPr>
              <w:t>Российской академии наук (ИПУ РАН)</w:t>
            </w:r>
          </w:p>
          <w:p w:rsidR="00F04309" w:rsidRPr="0001026F" w:rsidRDefault="00F04309" w:rsidP="00F04309">
            <w:pPr>
              <w:pStyle w:val="ConsPlusNormal"/>
              <w:jc w:val="both"/>
              <w:rPr>
                <w:sz w:val="24"/>
                <w:szCs w:val="24"/>
              </w:rPr>
            </w:pPr>
            <w:r w:rsidRPr="0001026F">
              <w:rPr>
                <w:sz w:val="24"/>
                <w:szCs w:val="24"/>
              </w:rPr>
              <w:t xml:space="preserve">ИНН </w:t>
            </w:r>
            <w:r w:rsidR="009A1F81" w:rsidRPr="0001026F">
              <w:rPr>
                <w:sz w:val="24"/>
                <w:szCs w:val="24"/>
              </w:rPr>
              <w:t>7728013512/</w:t>
            </w:r>
            <w:r w:rsidRPr="0001026F">
              <w:rPr>
                <w:sz w:val="24"/>
                <w:szCs w:val="24"/>
              </w:rPr>
              <w:t xml:space="preserve">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9A1F81" w:rsidP="00F04309">
            <w:pPr>
              <w:pStyle w:val="ConsPlusNormal"/>
              <w:jc w:val="both"/>
              <w:rPr>
                <w:sz w:val="24"/>
                <w:szCs w:val="24"/>
              </w:rPr>
            </w:pPr>
            <w:r w:rsidRPr="0001026F">
              <w:rPr>
                <w:sz w:val="24"/>
                <w:szCs w:val="24"/>
              </w:rPr>
              <w:t xml:space="preserve">Казначейский счет </w:t>
            </w:r>
            <w:r w:rsidR="00F04309" w:rsidRPr="0001026F">
              <w:rPr>
                <w:sz w:val="24"/>
                <w:szCs w:val="24"/>
              </w:rPr>
              <w:t>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F04309" w:rsidP="00F04309">
            <w:pPr>
              <w:pStyle w:val="ConsPlusNormal"/>
              <w:jc w:val="both"/>
              <w:rPr>
                <w:sz w:val="24"/>
                <w:szCs w:val="24"/>
              </w:rPr>
            </w:pPr>
            <w:r w:rsidRPr="0001026F">
              <w:rPr>
                <w:sz w:val="24"/>
                <w:szCs w:val="24"/>
              </w:rPr>
              <w:t>Назначение платежа: Обеспечение исполнения контракта на __________________________</w:t>
            </w:r>
          </w:p>
          <w:p w:rsidR="00F04309" w:rsidRPr="0001026F" w:rsidRDefault="00F04309" w:rsidP="00F04309">
            <w:pPr>
              <w:pStyle w:val="ConsPlusNormal"/>
              <w:jc w:val="both"/>
              <w:rPr>
                <w:sz w:val="24"/>
                <w:szCs w:val="24"/>
              </w:rPr>
            </w:pPr>
            <w:r w:rsidRPr="0001026F">
              <w:rPr>
                <w:sz w:val="24"/>
                <w:szCs w:val="24"/>
              </w:rPr>
              <w:t>(указывается предмет аукциона)</w:t>
            </w:r>
          </w:p>
          <w:p w:rsidR="00F04309" w:rsidRDefault="002A6F2A" w:rsidP="00F04309">
            <w:pPr>
              <w:pStyle w:val="ConsPlusNormal"/>
              <w:jc w:val="both"/>
              <w:rPr>
                <w:sz w:val="24"/>
                <w:szCs w:val="24"/>
              </w:rPr>
            </w:pPr>
            <w:r w:rsidRPr="0001026F">
              <w:rPr>
                <w:sz w:val="24"/>
                <w:szCs w:val="24"/>
              </w:rPr>
              <w:t xml:space="preserve">№ аукциона, </w:t>
            </w:r>
            <w:r w:rsidR="00F04309" w:rsidRPr="0001026F">
              <w:rPr>
                <w:sz w:val="24"/>
                <w:szCs w:val="24"/>
              </w:rPr>
              <w:t xml:space="preserve">по которому перечисляется </w:t>
            </w:r>
            <w:r w:rsidRPr="0001026F">
              <w:rPr>
                <w:sz w:val="24"/>
                <w:szCs w:val="24"/>
              </w:rPr>
              <w:t xml:space="preserve">  </w:t>
            </w:r>
            <w:r w:rsidR="00F04309" w:rsidRPr="0001026F">
              <w:rPr>
                <w:sz w:val="24"/>
                <w:szCs w:val="24"/>
              </w:rPr>
              <w:t>обеспечение.</w:t>
            </w:r>
          </w:p>
          <w:p w:rsidR="00AA78C3" w:rsidRPr="0001026F" w:rsidRDefault="00AA78C3" w:rsidP="00F04309">
            <w:pPr>
              <w:pStyle w:val="ConsPlusNormal"/>
              <w:jc w:val="both"/>
              <w:rPr>
                <w:sz w:val="24"/>
                <w:szCs w:val="24"/>
              </w:rPr>
            </w:pPr>
          </w:p>
          <w:p w:rsidR="00F04309" w:rsidRPr="0001026F" w:rsidRDefault="00E04F35" w:rsidP="00E04F35">
            <w:pPr>
              <w:pStyle w:val="ConsPlusNormal"/>
              <w:jc w:val="both"/>
              <w:rPr>
                <w:i/>
                <w:sz w:val="24"/>
                <w:szCs w:val="24"/>
              </w:rPr>
            </w:pPr>
            <w:r w:rsidRPr="0001026F">
              <w:rPr>
                <w:i/>
                <w:sz w:val="24"/>
                <w:szCs w:val="24"/>
              </w:rPr>
              <w:t xml:space="preserve">Обеспечение гарантийных обязательств </w:t>
            </w:r>
            <w:r w:rsidR="006843F4" w:rsidRPr="0001026F">
              <w:rPr>
                <w:i/>
                <w:sz w:val="24"/>
                <w:szCs w:val="24"/>
              </w:rPr>
              <w:t xml:space="preserve">не </w:t>
            </w:r>
            <w:r w:rsidRPr="0001026F">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2F09DC" w:rsidP="002F09DC">
            <w:pPr>
              <w:pStyle w:val="ConsPlusNormal"/>
              <w:rPr>
                <w:sz w:val="24"/>
                <w:szCs w:val="24"/>
              </w:rPr>
            </w:pPr>
            <w:r>
              <w:rPr>
                <w:b/>
                <w:sz w:val="24"/>
                <w:szCs w:val="24"/>
              </w:rPr>
              <w:t>«10</w:t>
            </w:r>
            <w:r w:rsidR="00CF3B61" w:rsidRPr="00036E09">
              <w:rPr>
                <w:b/>
                <w:sz w:val="24"/>
                <w:szCs w:val="24"/>
              </w:rPr>
              <w:t xml:space="preserve">» </w:t>
            </w:r>
            <w:r>
              <w:rPr>
                <w:b/>
                <w:sz w:val="24"/>
                <w:szCs w:val="24"/>
              </w:rPr>
              <w:t>января</w:t>
            </w:r>
            <w:r w:rsidR="006A4494">
              <w:rPr>
                <w:b/>
                <w:sz w:val="24"/>
                <w:szCs w:val="24"/>
              </w:rPr>
              <w:t xml:space="preserve"> </w:t>
            </w:r>
            <w:r w:rsidR="00F04309">
              <w:rPr>
                <w:b/>
                <w:sz w:val="24"/>
                <w:szCs w:val="24"/>
              </w:rPr>
              <w:t>202</w:t>
            </w:r>
            <w:r>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E47492" w:rsidRPr="002F09DC" w:rsidRDefault="00C83C11" w:rsidP="004115C4">
            <w:pPr>
              <w:pStyle w:val="ConsPlusNormal"/>
              <w:rPr>
                <w:b/>
                <w:sz w:val="24"/>
                <w:szCs w:val="24"/>
              </w:rPr>
            </w:pPr>
            <w:r>
              <w:rPr>
                <w:b/>
                <w:sz w:val="24"/>
                <w:szCs w:val="24"/>
              </w:rPr>
              <w:t>«</w:t>
            </w:r>
            <w:r w:rsidR="002F09DC">
              <w:rPr>
                <w:b/>
                <w:sz w:val="24"/>
                <w:szCs w:val="24"/>
              </w:rPr>
              <w:t>10</w:t>
            </w:r>
            <w:r w:rsidR="00D23E31">
              <w:rPr>
                <w:b/>
                <w:sz w:val="24"/>
                <w:szCs w:val="24"/>
              </w:rPr>
              <w:t>»</w:t>
            </w:r>
            <w:r w:rsidR="009D3FFA">
              <w:rPr>
                <w:b/>
                <w:sz w:val="24"/>
                <w:szCs w:val="24"/>
              </w:rPr>
              <w:t xml:space="preserve"> </w:t>
            </w:r>
            <w:r w:rsidR="002F09DC">
              <w:rPr>
                <w:b/>
                <w:sz w:val="24"/>
                <w:szCs w:val="24"/>
              </w:rPr>
              <w:t>января</w:t>
            </w:r>
            <w:r>
              <w:rPr>
                <w:b/>
                <w:sz w:val="24"/>
                <w:szCs w:val="24"/>
              </w:rPr>
              <w:t xml:space="preserve"> </w:t>
            </w:r>
            <w:r w:rsidR="00CF3B61" w:rsidRPr="00036E09">
              <w:rPr>
                <w:b/>
                <w:sz w:val="24"/>
                <w:szCs w:val="24"/>
              </w:rPr>
              <w:t>202</w:t>
            </w:r>
            <w:r w:rsidR="002F09DC">
              <w:rPr>
                <w:b/>
                <w:sz w:val="24"/>
                <w:szCs w:val="24"/>
              </w:rPr>
              <w:t>5 г.</w:t>
            </w: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C370B8" w:rsidP="004115C4">
            <w:pPr>
              <w:pStyle w:val="ConsPlusNormal"/>
              <w:rPr>
                <w:b/>
                <w:sz w:val="24"/>
                <w:szCs w:val="24"/>
              </w:rPr>
            </w:pPr>
            <w:r>
              <w:rPr>
                <w:b/>
                <w:sz w:val="24"/>
                <w:szCs w:val="24"/>
              </w:rPr>
              <w:t>«</w:t>
            </w:r>
            <w:r w:rsidR="002F09DC">
              <w:rPr>
                <w:b/>
                <w:sz w:val="24"/>
                <w:szCs w:val="24"/>
              </w:rPr>
              <w:t>14</w:t>
            </w:r>
            <w:r w:rsidR="00437235" w:rsidRPr="00036E09">
              <w:rPr>
                <w:b/>
                <w:sz w:val="24"/>
                <w:szCs w:val="24"/>
              </w:rPr>
              <w:t>»</w:t>
            </w:r>
            <w:r w:rsidR="009D3FFA">
              <w:rPr>
                <w:b/>
                <w:sz w:val="24"/>
                <w:szCs w:val="24"/>
              </w:rPr>
              <w:t xml:space="preserve"> </w:t>
            </w:r>
            <w:r w:rsidR="002F09DC">
              <w:rPr>
                <w:b/>
                <w:sz w:val="24"/>
                <w:szCs w:val="24"/>
              </w:rPr>
              <w:t>января</w:t>
            </w:r>
            <w:r w:rsidR="00C83C11">
              <w:rPr>
                <w:b/>
                <w:sz w:val="24"/>
                <w:szCs w:val="24"/>
              </w:rPr>
              <w:t xml:space="preserve"> </w:t>
            </w:r>
            <w:r w:rsidR="00437235" w:rsidRPr="00036E09">
              <w:rPr>
                <w:b/>
                <w:sz w:val="24"/>
                <w:szCs w:val="24"/>
              </w:rPr>
              <w:t>202</w:t>
            </w:r>
            <w:r w:rsidR="002F09DC">
              <w:rPr>
                <w:b/>
                <w:sz w:val="24"/>
                <w:szCs w:val="24"/>
              </w:rPr>
              <w:t>5</w:t>
            </w:r>
            <w:bookmarkStart w:id="0" w:name="_GoBack"/>
            <w:bookmarkEnd w:id="0"/>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B46CF1">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C139D6" w:rsidRDefault="00C139D6" w:rsidP="00452AF3">
      <w:pPr>
        <w:spacing w:after="0"/>
        <w:jc w:val="both"/>
        <w:rPr>
          <w:sz w:val="24"/>
          <w:szCs w:val="24"/>
        </w:rPr>
      </w:pPr>
    </w:p>
    <w:p w:rsidR="00B46CF1" w:rsidRDefault="00B46CF1" w:rsidP="00923AF5">
      <w:pPr>
        <w:spacing w:after="0"/>
        <w:jc w:val="both"/>
        <w:rPr>
          <w:sz w:val="24"/>
          <w:szCs w:val="24"/>
        </w:rPr>
      </w:pPr>
    </w:p>
    <w:p w:rsidR="00B46CF1" w:rsidRDefault="00B46CF1" w:rsidP="00923AF5">
      <w:pPr>
        <w:spacing w:after="0"/>
        <w:jc w:val="both"/>
        <w:rPr>
          <w:sz w:val="24"/>
          <w:szCs w:val="24"/>
        </w:rPr>
      </w:pPr>
    </w:p>
    <w:p w:rsidR="001A305A" w:rsidRPr="00432FE3" w:rsidRDefault="00C139D6" w:rsidP="00923AF5">
      <w:pPr>
        <w:spacing w:after="0"/>
        <w:jc w:val="both"/>
        <w:rPr>
          <w:sz w:val="24"/>
          <w:szCs w:val="24"/>
        </w:rPr>
      </w:pPr>
      <w:r>
        <w:rPr>
          <w:sz w:val="24"/>
          <w:szCs w:val="24"/>
        </w:rPr>
        <w:t>Руководитель контрактного отдела</w:t>
      </w:r>
      <w:r w:rsidR="00452AF3">
        <w:rPr>
          <w:sz w:val="24"/>
          <w:szCs w:val="24"/>
        </w:rPr>
        <w:t xml:space="preserve">                                                                </w:t>
      </w:r>
      <w:r>
        <w:rPr>
          <w:sz w:val="24"/>
          <w:szCs w:val="24"/>
        </w:rPr>
        <w:t xml:space="preserve">           Д.А. Тимохин</w:t>
      </w:r>
    </w:p>
    <w:p w:rsidR="001A305A" w:rsidRDefault="001A305A"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B46CF1" w:rsidRDefault="00B46CF1" w:rsidP="00923AF5">
      <w:pPr>
        <w:spacing w:after="0"/>
        <w:jc w:val="both"/>
        <w:rPr>
          <w:sz w:val="20"/>
          <w:szCs w:val="20"/>
        </w:rPr>
      </w:pPr>
    </w:p>
    <w:p w:rsidR="00AA78C3" w:rsidRDefault="00AA78C3" w:rsidP="00923AF5">
      <w:pPr>
        <w:spacing w:after="0"/>
        <w:jc w:val="both"/>
        <w:rPr>
          <w:sz w:val="20"/>
          <w:szCs w:val="20"/>
        </w:rPr>
      </w:pPr>
    </w:p>
    <w:p w:rsidR="00AA78C3" w:rsidRDefault="00AA78C3" w:rsidP="00923AF5">
      <w:pPr>
        <w:spacing w:after="0"/>
        <w:jc w:val="both"/>
        <w:rPr>
          <w:sz w:val="20"/>
          <w:szCs w:val="20"/>
        </w:rPr>
      </w:pPr>
    </w:p>
    <w:p w:rsidR="00AA78C3" w:rsidRDefault="00AA78C3" w:rsidP="00923AF5">
      <w:pPr>
        <w:spacing w:after="0"/>
        <w:jc w:val="both"/>
        <w:rPr>
          <w:sz w:val="20"/>
          <w:szCs w:val="20"/>
        </w:rPr>
      </w:pPr>
    </w:p>
    <w:p w:rsidR="00AA78C3" w:rsidRDefault="00AA78C3" w:rsidP="00923AF5">
      <w:pPr>
        <w:spacing w:after="0"/>
        <w:jc w:val="both"/>
        <w:rPr>
          <w:sz w:val="20"/>
          <w:szCs w:val="20"/>
        </w:rPr>
      </w:pPr>
    </w:p>
    <w:p w:rsidR="00AA78C3" w:rsidRDefault="00AA78C3" w:rsidP="00923AF5">
      <w:pPr>
        <w:spacing w:after="0"/>
        <w:jc w:val="both"/>
        <w:rPr>
          <w:sz w:val="20"/>
          <w:szCs w:val="20"/>
        </w:rPr>
      </w:pPr>
    </w:p>
    <w:p w:rsidR="00AA78C3" w:rsidRDefault="00AA78C3" w:rsidP="00923AF5">
      <w:pPr>
        <w:spacing w:after="0"/>
        <w:jc w:val="both"/>
        <w:rPr>
          <w:sz w:val="20"/>
          <w:szCs w:val="20"/>
        </w:rPr>
      </w:pPr>
    </w:p>
    <w:p w:rsidR="00AA78C3" w:rsidRDefault="00AA78C3" w:rsidP="00923AF5">
      <w:pPr>
        <w:spacing w:after="0"/>
        <w:jc w:val="both"/>
        <w:rPr>
          <w:sz w:val="20"/>
          <w:szCs w:val="20"/>
        </w:rPr>
      </w:pPr>
    </w:p>
    <w:p w:rsidR="00AA78C3" w:rsidRDefault="00AA78C3" w:rsidP="00923AF5">
      <w:pPr>
        <w:spacing w:after="0"/>
        <w:jc w:val="both"/>
        <w:rPr>
          <w:sz w:val="20"/>
          <w:szCs w:val="20"/>
        </w:rPr>
      </w:pPr>
    </w:p>
    <w:p w:rsidR="00AA78C3" w:rsidRDefault="00AA78C3" w:rsidP="00923AF5">
      <w:pPr>
        <w:spacing w:after="0"/>
        <w:jc w:val="both"/>
        <w:rPr>
          <w:sz w:val="20"/>
          <w:szCs w:val="20"/>
        </w:rPr>
      </w:pPr>
    </w:p>
    <w:p w:rsidR="00AA78C3" w:rsidRDefault="00AA78C3" w:rsidP="00923AF5">
      <w:pPr>
        <w:spacing w:after="0"/>
        <w:jc w:val="both"/>
        <w:rPr>
          <w:sz w:val="20"/>
          <w:szCs w:val="20"/>
        </w:rPr>
      </w:pPr>
    </w:p>
    <w:p w:rsidR="00AA78C3" w:rsidRDefault="00AA78C3" w:rsidP="00923AF5">
      <w:pPr>
        <w:spacing w:after="0"/>
        <w:jc w:val="both"/>
        <w:rPr>
          <w:sz w:val="20"/>
          <w:szCs w:val="20"/>
        </w:rPr>
      </w:pPr>
    </w:p>
    <w:p w:rsidR="00AA78C3" w:rsidRDefault="00AA78C3" w:rsidP="00923AF5">
      <w:pPr>
        <w:spacing w:after="0"/>
        <w:jc w:val="both"/>
        <w:rPr>
          <w:sz w:val="20"/>
          <w:szCs w:val="20"/>
        </w:rPr>
      </w:pPr>
    </w:p>
    <w:p w:rsidR="00AA78C3" w:rsidRDefault="00AA78C3" w:rsidP="00923AF5">
      <w:pPr>
        <w:spacing w:after="0"/>
        <w:jc w:val="both"/>
        <w:rPr>
          <w:sz w:val="20"/>
          <w:szCs w:val="20"/>
        </w:rPr>
      </w:pPr>
    </w:p>
    <w:p w:rsidR="00AA78C3" w:rsidRDefault="00AA78C3" w:rsidP="00923AF5">
      <w:pPr>
        <w:spacing w:after="0"/>
        <w:jc w:val="both"/>
        <w:rPr>
          <w:sz w:val="20"/>
          <w:szCs w:val="20"/>
        </w:rPr>
      </w:pPr>
    </w:p>
    <w:p w:rsidR="00923AF5" w:rsidRPr="00EB0A83" w:rsidRDefault="00923AF5" w:rsidP="00923AF5">
      <w:pPr>
        <w:spacing w:after="0"/>
        <w:jc w:val="both"/>
        <w:rPr>
          <w:sz w:val="20"/>
          <w:szCs w:val="20"/>
        </w:rPr>
      </w:pPr>
      <w:r w:rsidRPr="00EB0A83">
        <w:rPr>
          <w:sz w:val="20"/>
          <w:szCs w:val="20"/>
        </w:rPr>
        <w:t>Исп.</w:t>
      </w:r>
    </w:p>
    <w:p w:rsidR="00923AF5" w:rsidRPr="00EB0A83" w:rsidRDefault="00B46CF1" w:rsidP="00923AF5">
      <w:pPr>
        <w:spacing w:after="0"/>
        <w:jc w:val="both"/>
        <w:rPr>
          <w:sz w:val="20"/>
          <w:szCs w:val="20"/>
        </w:rPr>
      </w:pPr>
      <w:r w:rsidRPr="00EB0A83">
        <w:rPr>
          <w:sz w:val="20"/>
          <w:szCs w:val="20"/>
        </w:rPr>
        <w:t>Ведущий</w:t>
      </w:r>
      <w:r w:rsidR="00432FE3" w:rsidRPr="00EB0A83">
        <w:rPr>
          <w:sz w:val="20"/>
          <w:szCs w:val="20"/>
        </w:rPr>
        <w:t xml:space="preserve"> </w:t>
      </w:r>
      <w:r w:rsidR="00923AF5" w:rsidRPr="00EB0A83">
        <w:rPr>
          <w:sz w:val="20"/>
          <w:szCs w:val="20"/>
        </w:rPr>
        <w:t>специалист контрактного отдела</w:t>
      </w:r>
    </w:p>
    <w:p w:rsidR="00923AF5" w:rsidRPr="00EB0A83" w:rsidRDefault="00B46CF1" w:rsidP="00923AF5">
      <w:pPr>
        <w:spacing w:after="0"/>
        <w:jc w:val="both"/>
        <w:rPr>
          <w:sz w:val="20"/>
          <w:szCs w:val="20"/>
        </w:rPr>
      </w:pPr>
      <w:r w:rsidRPr="00EB0A83">
        <w:rPr>
          <w:sz w:val="20"/>
          <w:szCs w:val="20"/>
        </w:rPr>
        <w:t>Е.А. Аванесова</w:t>
      </w:r>
    </w:p>
    <w:p w:rsidR="00923AF5" w:rsidRDefault="00432FE3" w:rsidP="00923AF5">
      <w:pPr>
        <w:spacing w:after="0"/>
        <w:jc w:val="both"/>
        <w:rPr>
          <w:sz w:val="20"/>
          <w:szCs w:val="20"/>
        </w:rPr>
      </w:pPr>
      <w:r w:rsidRPr="00EB0A83">
        <w:rPr>
          <w:sz w:val="20"/>
          <w:szCs w:val="20"/>
        </w:rPr>
        <w:t>84951981720 доб.16</w:t>
      </w:r>
      <w:r w:rsidR="00B46CF1" w:rsidRPr="00EB0A83">
        <w:rPr>
          <w:sz w:val="20"/>
          <w:szCs w:val="20"/>
        </w:rPr>
        <w:t>06</w:t>
      </w:r>
    </w:p>
    <w:p w:rsidR="00AA78C3" w:rsidRDefault="00AA78C3" w:rsidP="00923AF5">
      <w:pPr>
        <w:spacing w:after="0"/>
        <w:jc w:val="both"/>
        <w:rPr>
          <w:sz w:val="20"/>
          <w:szCs w:val="20"/>
        </w:rPr>
      </w:pPr>
    </w:p>
    <w:p w:rsidR="00AA78C3" w:rsidRPr="00EB0A83" w:rsidRDefault="00AA78C3" w:rsidP="00923AF5">
      <w:pPr>
        <w:spacing w:after="0"/>
        <w:jc w:val="both"/>
        <w:rPr>
          <w:sz w:val="20"/>
          <w:szCs w:val="20"/>
        </w:rPr>
      </w:pPr>
      <w:proofErr w:type="spellStart"/>
      <w:r>
        <w:rPr>
          <w:sz w:val="20"/>
          <w:szCs w:val="20"/>
        </w:rPr>
        <w:t>ВставитьЭП</w:t>
      </w:r>
      <w:proofErr w:type="spellEnd"/>
    </w:p>
    <w:sectPr w:rsidR="00AA78C3" w:rsidRPr="00EB0A83" w:rsidSect="00432FE3">
      <w:footerReference w:type="default" r:id="rId27"/>
      <w:pgSz w:w="11906" w:h="16838"/>
      <w:pgMar w:top="568" w:right="850" w:bottom="709" w:left="1701" w:header="708"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32240"/>
      <w:docPartObj>
        <w:docPartGallery w:val="Page Numbers (Bottom of Page)"/>
        <w:docPartUnique/>
      </w:docPartObj>
    </w:sdtPr>
    <w:sdtEndPr>
      <w:rPr>
        <w:sz w:val="24"/>
        <w:szCs w:val="24"/>
      </w:rPr>
    </w:sdtEndPr>
    <w:sdtContent>
      <w:p w:rsidR="00BF1C72" w:rsidRPr="00432FE3" w:rsidRDefault="00923AF5" w:rsidP="00432FE3">
        <w:pPr>
          <w:pStyle w:val="ab"/>
          <w:jc w:val="center"/>
          <w:rPr>
            <w:sz w:val="24"/>
            <w:szCs w:val="24"/>
          </w:rPr>
        </w:pPr>
        <w:r w:rsidRPr="00432FE3">
          <w:rPr>
            <w:sz w:val="22"/>
          </w:rPr>
          <w:fldChar w:fldCharType="begin"/>
        </w:r>
        <w:r w:rsidRPr="00432FE3">
          <w:rPr>
            <w:sz w:val="22"/>
          </w:rPr>
          <w:instrText>PAGE   \* MERGEFORMAT</w:instrText>
        </w:r>
        <w:r w:rsidRPr="00432FE3">
          <w:rPr>
            <w:sz w:val="22"/>
          </w:rPr>
          <w:fldChar w:fldCharType="separate"/>
        </w:r>
        <w:r w:rsidR="002F09DC">
          <w:rPr>
            <w:noProof/>
            <w:sz w:val="22"/>
          </w:rPr>
          <w:t>7</w:t>
        </w:r>
        <w:r w:rsidRPr="00432FE3">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026F"/>
    <w:rsid w:val="00012A3A"/>
    <w:rsid w:val="00023E15"/>
    <w:rsid w:val="000334D1"/>
    <w:rsid w:val="00036E09"/>
    <w:rsid w:val="00041901"/>
    <w:rsid w:val="000451EF"/>
    <w:rsid w:val="00061730"/>
    <w:rsid w:val="000954C3"/>
    <w:rsid w:val="000A6DAD"/>
    <w:rsid w:val="000B0541"/>
    <w:rsid w:val="000B4964"/>
    <w:rsid w:val="000D5A76"/>
    <w:rsid w:val="000D7EA3"/>
    <w:rsid w:val="000E39DF"/>
    <w:rsid w:val="0010152C"/>
    <w:rsid w:val="00114560"/>
    <w:rsid w:val="00121ED9"/>
    <w:rsid w:val="00127E4D"/>
    <w:rsid w:val="0014230D"/>
    <w:rsid w:val="00147433"/>
    <w:rsid w:val="001511A4"/>
    <w:rsid w:val="0016627A"/>
    <w:rsid w:val="00166F57"/>
    <w:rsid w:val="00192D96"/>
    <w:rsid w:val="001A15CB"/>
    <w:rsid w:val="001A305A"/>
    <w:rsid w:val="001A7C0F"/>
    <w:rsid w:val="001B5D94"/>
    <w:rsid w:val="001B6FF9"/>
    <w:rsid w:val="001C6FEE"/>
    <w:rsid w:val="001E174B"/>
    <w:rsid w:val="001E4D72"/>
    <w:rsid w:val="002003F1"/>
    <w:rsid w:val="002136DD"/>
    <w:rsid w:val="00234B41"/>
    <w:rsid w:val="00251A5C"/>
    <w:rsid w:val="00263327"/>
    <w:rsid w:val="00286541"/>
    <w:rsid w:val="002927FC"/>
    <w:rsid w:val="00293899"/>
    <w:rsid w:val="002A4A3C"/>
    <w:rsid w:val="002A6C36"/>
    <w:rsid w:val="002A6F2A"/>
    <w:rsid w:val="002C491F"/>
    <w:rsid w:val="002D0D2A"/>
    <w:rsid w:val="002D7667"/>
    <w:rsid w:val="002D7AB9"/>
    <w:rsid w:val="002E5258"/>
    <w:rsid w:val="002F09DC"/>
    <w:rsid w:val="002F5455"/>
    <w:rsid w:val="00317031"/>
    <w:rsid w:val="00320A3E"/>
    <w:rsid w:val="00324969"/>
    <w:rsid w:val="003319B8"/>
    <w:rsid w:val="0034192D"/>
    <w:rsid w:val="00342F3E"/>
    <w:rsid w:val="003647E4"/>
    <w:rsid w:val="00370D0B"/>
    <w:rsid w:val="0037505A"/>
    <w:rsid w:val="00386A47"/>
    <w:rsid w:val="00390005"/>
    <w:rsid w:val="003A2B4C"/>
    <w:rsid w:val="003A485D"/>
    <w:rsid w:val="003B4304"/>
    <w:rsid w:val="003B60C1"/>
    <w:rsid w:val="003E0974"/>
    <w:rsid w:val="003E0CDE"/>
    <w:rsid w:val="003E56AD"/>
    <w:rsid w:val="003E5F21"/>
    <w:rsid w:val="00400454"/>
    <w:rsid w:val="00403222"/>
    <w:rsid w:val="00403AA9"/>
    <w:rsid w:val="004115C4"/>
    <w:rsid w:val="00420275"/>
    <w:rsid w:val="004246CD"/>
    <w:rsid w:val="004271F1"/>
    <w:rsid w:val="004301BC"/>
    <w:rsid w:val="00432FE3"/>
    <w:rsid w:val="00437235"/>
    <w:rsid w:val="00444B0A"/>
    <w:rsid w:val="00452AF3"/>
    <w:rsid w:val="004557C2"/>
    <w:rsid w:val="00463FAB"/>
    <w:rsid w:val="00464276"/>
    <w:rsid w:val="004659E8"/>
    <w:rsid w:val="00484C1F"/>
    <w:rsid w:val="00494A71"/>
    <w:rsid w:val="004A450E"/>
    <w:rsid w:val="004A4828"/>
    <w:rsid w:val="004A7D5A"/>
    <w:rsid w:val="004C54DE"/>
    <w:rsid w:val="004C56D3"/>
    <w:rsid w:val="004D11C7"/>
    <w:rsid w:val="004E161A"/>
    <w:rsid w:val="00503DA5"/>
    <w:rsid w:val="00507EB1"/>
    <w:rsid w:val="005140B8"/>
    <w:rsid w:val="00515EE1"/>
    <w:rsid w:val="005175BB"/>
    <w:rsid w:val="00523EE3"/>
    <w:rsid w:val="00531523"/>
    <w:rsid w:val="005333E6"/>
    <w:rsid w:val="00544187"/>
    <w:rsid w:val="00545C11"/>
    <w:rsid w:val="00546163"/>
    <w:rsid w:val="005530BF"/>
    <w:rsid w:val="005C6956"/>
    <w:rsid w:val="005D01B2"/>
    <w:rsid w:val="005E753E"/>
    <w:rsid w:val="005F3B05"/>
    <w:rsid w:val="005F5534"/>
    <w:rsid w:val="005F71E8"/>
    <w:rsid w:val="0060569E"/>
    <w:rsid w:val="00606D4A"/>
    <w:rsid w:val="00610890"/>
    <w:rsid w:val="0061243E"/>
    <w:rsid w:val="00621123"/>
    <w:rsid w:val="0063490E"/>
    <w:rsid w:val="006453C3"/>
    <w:rsid w:val="0065251F"/>
    <w:rsid w:val="00683B5D"/>
    <w:rsid w:val="006843F4"/>
    <w:rsid w:val="00686BE3"/>
    <w:rsid w:val="0069435C"/>
    <w:rsid w:val="006A4494"/>
    <w:rsid w:val="006B41DE"/>
    <w:rsid w:val="006B714F"/>
    <w:rsid w:val="006C2A62"/>
    <w:rsid w:val="006D13B1"/>
    <w:rsid w:val="006E42CC"/>
    <w:rsid w:val="007178DE"/>
    <w:rsid w:val="007220A1"/>
    <w:rsid w:val="00756ADB"/>
    <w:rsid w:val="00792C53"/>
    <w:rsid w:val="00797D49"/>
    <w:rsid w:val="007B5C02"/>
    <w:rsid w:val="007B65D7"/>
    <w:rsid w:val="007E0A2E"/>
    <w:rsid w:val="007E2F95"/>
    <w:rsid w:val="007F31B4"/>
    <w:rsid w:val="007F69E1"/>
    <w:rsid w:val="00802ECD"/>
    <w:rsid w:val="008040FD"/>
    <w:rsid w:val="0080459C"/>
    <w:rsid w:val="008224FC"/>
    <w:rsid w:val="00824ABC"/>
    <w:rsid w:val="00826FB9"/>
    <w:rsid w:val="00840976"/>
    <w:rsid w:val="00851DC8"/>
    <w:rsid w:val="008606C7"/>
    <w:rsid w:val="00861D87"/>
    <w:rsid w:val="008666BC"/>
    <w:rsid w:val="00877BCE"/>
    <w:rsid w:val="00890237"/>
    <w:rsid w:val="008A432A"/>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B3538"/>
    <w:rsid w:val="009C404D"/>
    <w:rsid w:val="009C659E"/>
    <w:rsid w:val="009C7B30"/>
    <w:rsid w:val="009D34D0"/>
    <w:rsid w:val="009D3FFA"/>
    <w:rsid w:val="009E6DA1"/>
    <w:rsid w:val="009E6E01"/>
    <w:rsid w:val="009F3309"/>
    <w:rsid w:val="009F7EAB"/>
    <w:rsid w:val="00A02E9B"/>
    <w:rsid w:val="00A0352D"/>
    <w:rsid w:val="00A13319"/>
    <w:rsid w:val="00A36C69"/>
    <w:rsid w:val="00A56968"/>
    <w:rsid w:val="00A61910"/>
    <w:rsid w:val="00A63F55"/>
    <w:rsid w:val="00A978E3"/>
    <w:rsid w:val="00AA6E34"/>
    <w:rsid w:val="00AA78C3"/>
    <w:rsid w:val="00AC52AB"/>
    <w:rsid w:val="00AD1449"/>
    <w:rsid w:val="00AD4BBA"/>
    <w:rsid w:val="00AE1488"/>
    <w:rsid w:val="00AE2409"/>
    <w:rsid w:val="00AF00AD"/>
    <w:rsid w:val="00AF0D37"/>
    <w:rsid w:val="00B0436A"/>
    <w:rsid w:val="00B21B85"/>
    <w:rsid w:val="00B2288D"/>
    <w:rsid w:val="00B251DE"/>
    <w:rsid w:val="00B26421"/>
    <w:rsid w:val="00B276E6"/>
    <w:rsid w:val="00B46CF1"/>
    <w:rsid w:val="00B53D8E"/>
    <w:rsid w:val="00B719B6"/>
    <w:rsid w:val="00B80F30"/>
    <w:rsid w:val="00B9778A"/>
    <w:rsid w:val="00BB44D8"/>
    <w:rsid w:val="00BC1FE1"/>
    <w:rsid w:val="00BD63EC"/>
    <w:rsid w:val="00BF1C72"/>
    <w:rsid w:val="00C02C28"/>
    <w:rsid w:val="00C0744E"/>
    <w:rsid w:val="00C139D6"/>
    <w:rsid w:val="00C13AA7"/>
    <w:rsid w:val="00C1615B"/>
    <w:rsid w:val="00C370B8"/>
    <w:rsid w:val="00C417DF"/>
    <w:rsid w:val="00C46DA3"/>
    <w:rsid w:val="00C5422F"/>
    <w:rsid w:val="00C654FE"/>
    <w:rsid w:val="00C71D04"/>
    <w:rsid w:val="00C8010B"/>
    <w:rsid w:val="00C83C11"/>
    <w:rsid w:val="00C95FFA"/>
    <w:rsid w:val="00CA0FE8"/>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23E31"/>
    <w:rsid w:val="00D7101B"/>
    <w:rsid w:val="00D80998"/>
    <w:rsid w:val="00D95374"/>
    <w:rsid w:val="00DA13D7"/>
    <w:rsid w:val="00DB0DC6"/>
    <w:rsid w:val="00DB720A"/>
    <w:rsid w:val="00DD212D"/>
    <w:rsid w:val="00DE108D"/>
    <w:rsid w:val="00DE4098"/>
    <w:rsid w:val="00E00D02"/>
    <w:rsid w:val="00E04F35"/>
    <w:rsid w:val="00E3396B"/>
    <w:rsid w:val="00E46724"/>
    <w:rsid w:val="00E47492"/>
    <w:rsid w:val="00E57B21"/>
    <w:rsid w:val="00E63A04"/>
    <w:rsid w:val="00E67396"/>
    <w:rsid w:val="00E95912"/>
    <w:rsid w:val="00EA5440"/>
    <w:rsid w:val="00EA6B31"/>
    <w:rsid w:val="00EB0A83"/>
    <w:rsid w:val="00EC798E"/>
    <w:rsid w:val="00ED264A"/>
    <w:rsid w:val="00F018E4"/>
    <w:rsid w:val="00F04309"/>
    <w:rsid w:val="00F1792C"/>
    <w:rsid w:val="00F20AC4"/>
    <w:rsid w:val="00F2324D"/>
    <w:rsid w:val="00F30771"/>
    <w:rsid w:val="00F377AF"/>
    <w:rsid w:val="00F50727"/>
    <w:rsid w:val="00F529FA"/>
    <w:rsid w:val="00F5631B"/>
    <w:rsid w:val="00F5786D"/>
    <w:rsid w:val="00F66687"/>
    <w:rsid w:val="00F66697"/>
    <w:rsid w:val="00F6718F"/>
    <w:rsid w:val="00F80C14"/>
    <w:rsid w:val="00F852D8"/>
    <w:rsid w:val="00FB2A93"/>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2A85-7637-47A1-8654-A079A8F6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7</Pages>
  <Words>2080</Words>
  <Characters>11860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63</cp:revision>
  <cp:lastPrinted>2024-12-26T09:21:00Z</cp:lastPrinted>
  <dcterms:created xsi:type="dcterms:W3CDTF">2022-05-19T13:32:00Z</dcterms:created>
  <dcterms:modified xsi:type="dcterms:W3CDTF">2024-12-26T09:21:00Z</dcterms:modified>
</cp:coreProperties>
</file>