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AE77CF">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AE77CF">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AE77CF">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AE77CF" w:rsidRDefault="004A768E" w:rsidP="00AE77CF">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AE77CF">
        <w:rPr>
          <w:rFonts w:asciiTheme="minorHAnsi" w:hAnsiTheme="minorHAnsi" w:cstheme="minorHAnsi"/>
          <w:sz w:val="24"/>
          <w:szCs w:val="24"/>
        </w:rPr>
        <w:t xml:space="preserve">работ по замене </w:t>
      </w:r>
    </w:p>
    <w:p w:rsidR="00AE77CF" w:rsidRDefault="00AE77CF" w:rsidP="00AE77CF">
      <w:pPr>
        <w:pStyle w:val="ConsPlusNormal"/>
        <w:ind w:firstLine="5670"/>
        <w:rPr>
          <w:rFonts w:asciiTheme="minorHAnsi" w:hAnsiTheme="minorHAnsi" w:cstheme="minorHAnsi"/>
          <w:sz w:val="24"/>
          <w:szCs w:val="24"/>
        </w:rPr>
      </w:pPr>
      <w:r>
        <w:rPr>
          <w:rFonts w:asciiTheme="minorHAnsi" w:hAnsiTheme="minorHAnsi" w:cstheme="minorHAnsi"/>
          <w:sz w:val="24"/>
          <w:szCs w:val="24"/>
        </w:rPr>
        <w:t xml:space="preserve">ограждающих конструкций стен </w:t>
      </w:r>
    </w:p>
    <w:p w:rsidR="00FA2658" w:rsidRPr="004A768E" w:rsidRDefault="00AE77CF" w:rsidP="00AE77CF">
      <w:pPr>
        <w:pStyle w:val="ConsPlusNormal"/>
        <w:ind w:firstLine="5670"/>
        <w:rPr>
          <w:rFonts w:asciiTheme="minorHAnsi" w:hAnsiTheme="minorHAnsi" w:cstheme="minorHAnsi"/>
          <w:sz w:val="24"/>
          <w:szCs w:val="24"/>
        </w:rPr>
      </w:pPr>
      <w:r>
        <w:rPr>
          <w:rFonts w:asciiTheme="minorHAnsi" w:hAnsiTheme="minorHAnsi" w:cstheme="minorHAnsi"/>
          <w:sz w:val="24"/>
          <w:szCs w:val="24"/>
        </w:rPr>
        <w:t>тамбура главного входа 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AE77CF" w:rsidRDefault="00055FAD" w:rsidP="00AE77CF">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AE77CF">
        <w:rPr>
          <w:rFonts w:hAnsi="Times New Roman" w:cs="Times New Roman"/>
          <w:b/>
          <w:bCs/>
          <w:color w:val="000000"/>
          <w:sz w:val="24"/>
          <w:szCs w:val="24"/>
          <w:lang w:val="ru-RU"/>
        </w:rPr>
        <w:t xml:space="preserve">работ по замене ограждающих конструкций стен тамбура главного входа </w:t>
      </w:r>
    </w:p>
    <w:p w:rsidR="00055FAD" w:rsidRPr="00055FAD" w:rsidRDefault="00AE77CF" w:rsidP="00AE77CF">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083B06"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35 569</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Pr>
                <w:rFonts w:hAnsi="Times New Roman" w:cs="Times New Roman"/>
                <w:color w:val="000000"/>
                <w:sz w:val="24"/>
                <w:szCs w:val="24"/>
                <w:lang w:val="ru-RU"/>
              </w:rPr>
              <w:t>Тридцать пять тысяч пятьсот шестьдесят девять</w:t>
            </w:r>
            <w:r w:rsidR="00E71FD4" w:rsidRPr="00E71FD4">
              <w:rPr>
                <w:rFonts w:hAnsi="Times New Roman" w:cs="Times New Roman"/>
                <w:color w:val="000000"/>
                <w:sz w:val="24"/>
                <w:szCs w:val="24"/>
                <w:lang w:val="ru-RU"/>
              </w:rPr>
              <w:t>)</w:t>
            </w:r>
            <w:r w:rsidR="00E71FD4" w:rsidRPr="00E71FD4">
              <w:rPr>
                <w:rFonts w:hAnsi="Times New Roman" w:cs="Times New Roman"/>
                <w:b/>
                <w:color w:val="000000"/>
                <w:sz w:val="24"/>
                <w:szCs w:val="24"/>
                <w:lang w:val="ru-RU"/>
              </w:rPr>
              <w:t xml:space="preserve"> рубл</w:t>
            </w:r>
            <w:r w:rsidR="007953BE">
              <w:rPr>
                <w:rFonts w:hAnsi="Times New Roman" w:cs="Times New Roman"/>
                <w:b/>
                <w:color w:val="000000"/>
                <w:sz w:val="24"/>
                <w:szCs w:val="24"/>
                <w:lang w:val="ru-RU"/>
              </w:rPr>
              <w:t>ей</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13</w:t>
            </w:r>
            <w:r w:rsidR="00E71FD4" w:rsidRPr="00E71FD4">
              <w:rPr>
                <w:rFonts w:hAnsi="Times New Roman" w:cs="Times New Roman"/>
                <w:b/>
                <w:color w:val="000000"/>
                <w:sz w:val="24"/>
                <w:szCs w:val="24"/>
                <w:lang w:val="ru-RU"/>
              </w:rPr>
              <w:t xml:space="preserve"> </w:t>
            </w:r>
            <w:r w:rsidR="00B43238">
              <w:rPr>
                <w:rFonts w:hAnsi="Times New Roman" w:cs="Times New Roman"/>
                <w:b/>
                <w:color w:val="000000"/>
                <w:sz w:val="24"/>
                <w:szCs w:val="24"/>
                <w:lang w:val="ru-RU"/>
              </w:rPr>
              <w:t>копе</w:t>
            </w:r>
            <w:r>
              <w:rPr>
                <w:rFonts w:hAnsi="Times New Roman" w:cs="Times New Roman"/>
                <w:b/>
                <w:color w:val="000000"/>
                <w:sz w:val="24"/>
                <w:szCs w:val="24"/>
                <w:lang w:val="ru-RU"/>
              </w:rPr>
              <w:t>ек</w:t>
            </w:r>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21FB9">
              <w:rPr>
                <w:rFonts w:hAnsi="Times New Roman" w:cs="Times New Roman"/>
                <w:color w:val="000000"/>
                <w:sz w:val="24"/>
                <w:szCs w:val="24"/>
                <w:lang w:val="ru-RU"/>
              </w:rPr>
              <w:lastRenderedPageBreak/>
              <w:t>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w:t>
            </w:r>
            <w:r w:rsidRPr="00321FB9">
              <w:rPr>
                <w:rFonts w:hAnsi="Times New Roman" w:cs="Times New Roman"/>
                <w:color w:val="000000"/>
                <w:sz w:val="24"/>
                <w:szCs w:val="24"/>
                <w:lang w:val="ru-RU"/>
              </w:rPr>
              <w:lastRenderedPageBreak/>
              <w:t>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w:t>
            </w:r>
            <w:r w:rsidRPr="00645D48">
              <w:rPr>
                <w:rFonts w:ascii="Times New Roman" w:eastAsia="Calibri" w:hAnsi="Times New Roman" w:cs="Times New Roman"/>
                <w:iCs/>
                <w:sz w:val="24"/>
                <w:szCs w:val="24"/>
                <w:lang w:val="ru-RU"/>
              </w:rPr>
              <w:lastRenderedPageBreak/>
              <w:t>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713595"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D42FD" w:rsidRPr="00DD42FD" w:rsidRDefault="00DD42FD" w:rsidP="00DD42FD">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DD42FD" w:rsidRPr="00DD42FD" w:rsidRDefault="00DD42FD" w:rsidP="00DD42FD">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DD42FD" w:rsidRPr="00DD42FD" w:rsidRDefault="00DD42FD" w:rsidP="00DD42FD">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DD42FD" w:rsidRPr="00DD42FD" w:rsidRDefault="00DD42FD" w:rsidP="00DD42FD">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sidR="00F44F2B">
              <w:rPr>
                <w:sz w:val="24"/>
                <w:szCs w:val="24"/>
                <w:lang w:val="ru-RU"/>
              </w:rPr>
              <w:t xml:space="preserve"> </w:t>
            </w:r>
            <w:r w:rsidRPr="00DD42FD">
              <w:rPr>
                <w:sz w:val="24"/>
                <w:szCs w:val="24"/>
                <w:lang w:val="ru-RU"/>
              </w:rPr>
              <w:t>44-ФЗ;</w:t>
            </w:r>
          </w:p>
          <w:p w:rsidR="00DD42FD" w:rsidRPr="00DD42FD" w:rsidRDefault="00DD42FD" w:rsidP="00DD42FD">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sidR="00F44F2B">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DD42FD" w:rsidRDefault="00DD42FD" w:rsidP="00FC351A">
            <w:pPr>
              <w:spacing w:before="0" w:beforeAutospacing="0" w:after="0" w:afterAutospacing="0"/>
              <w:jc w:val="both"/>
              <w:rPr>
                <w:rFonts w:ascii="Times New Roman" w:eastAsia="Calibri" w:hAnsi="Times New Roman" w:cs="Times New Roman"/>
                <w:i/>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AE77CF"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083B06">
              <w:rPr>
                <w:rFonts w:ascii="Times New Roman" w:eastAsia="Times New Roman" w:hAnsi="Times New Roman" w:cs="Times New Roman"/>
                <w:b/>
                <w:sz w:val="24"/>
                <w:szCs w:val="24"/>
                <w:lang w:val="ru-RU" w:eastAsia="ru-RU"/>
              </w:rPr>
              <w:t>355 691</w:t>
            </w:r>
            <w:r w:rsidR="00D36967" w:rsidRPr="00D36967">
              <w:rPr>
                <w:rFonts w:ascii="Times New Roman" w:eastAsia="Times New Roman" w:hAnsi="Times New Roman" w:cs="Times New Roman"/>
                <w:sz w:val="24"/>
                <w:szCs w:val="24"/>
                <w:lang w:val="ru-RU" w:eastAsia="ru-RU"/>
              </w:rPr>
              <w:t xml:space="preserve"> (</w:t>
            </w:r>
            <w:r w:rsidR="00083B06">
              <w:rPr>
                <w:rFonts w:ascii="Times New Roman" w:eastAsia="Times New Roman" w:hAnsi="Times New Roman" w:cs="Times New Roman"/>
                <w:sz w:val="24"/>
                <w:szCs w:val="24"/>
                <w:lang w:val="ru-RU" w:eastAsia="ru-RU"/>
              </w:rPr>
              <w:t>Триста пятьдесят пять тысяч шестьсот девяносто один</w:t>
            </w:r>
            <w:r w:rsidR="00FA2658">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рубл</w:t>
            </w:r>
            <w:r w:rsidR="00083B06">
              <w:rPr>
                <w:rFonts w:ascii="Times New Roman" w:eastAsia="Times New Roman" w:hAnsi="Times New Roman" w:cs="Times New Roman"/>
                <w:sz w:val="24"/>
                <w:szCs w:val="24"/>
                <w:lang w:val="ru-RU" w:eastAsia="ru-RU"/>
              </w:rPr>
              <w:t>ь</w:t>
            </w:r>
            <w:r w:rsidR="00D36967" w:rsidRPr="00D36967">
              <w:rPr>
                <w:rFonts w:ascii="Times New Roman" w:eastAsia="Times New Roman" w:hAnsi="Times New Roman" w:cs="Times New Roman"/>
                <w:sz w:val="24"/>
                <w:szCs w:val="24"/>
                <w:lang w:val="ru-RU" w:eastAsia="ru-RU"/>
              </w:rPr>
              <w:t xml:space="preserve"> </w:t>
            </w:r>
            <w:r w:rsidR="00083B06">
              <w:rPr>
                <w:rFonts w:ascii="Times New Roman" w:eastAsia="Times New Roman" w:hAnsi="Times New Roman" w:cs="Times New Roman"/>
                <w:b/>
                <w:sz w:val="24"/>
                <w:szCs w:val="24"/>
                <w:lang w:val="ru-RU" w:eastAsia="ru-RU"/>
              </w:rPr>
              <w:t>29</w:t>
            </w:r>
            <w:r w:rsidR="00024C2F">
              <w:rPr>
                <w:rFonts w:ascii="Times New Roman" w:eastAsia="Times New Roman" w:hAnsi="Times New Roman" w:cs="Times New Roman"/>
                <w:sz w:val="24"/>
                <w:szCs w:val="24"/>
                <w:lang w:val="ru-RU" w:eastAsia="ru-RU"/>
              </w:rPr>
              <w:t xml:space="preserve"> копе</w:t>
            </w:r>
            <w:r w:rsidR="00083B06">
              <w:rPr>
                <w:rFonts w:ascii="Times New Roman" w:eastAsia="Times New Roman" w:hAnsi="Times New Roman" w:cs="Times New Roman"/>
                <w:sz w:val="24"/>
                <w:szCs w:val="24"/>
                <w:lang w:val="ru-RU" w:eastAsia="ru-RU"/>
              </w:rPr>
              <w:t>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AE77C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083B06">
              <w:rPr>
                <w:rFonts w:ascii="Times New Roman" w:hAnsi="Times New Roman" w:cs="Times New Roman"/>
                <w:b/>
                <w:sz w:val="24"/>
                <w:szCs w:val="24"/>
                <w:lang w:val="ru-RU" w:eastAsia="ru-RU"/>
              </w:rPr>
              <w:t>355 691</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083B06">
              <w:rPr>
                <w:rFonts w:ascii="Times New Roman" w:hAnsi="Times New Roman" w:cs="Times New Roman"/>
                <w:sz w:val="24"/>
                <w:szCs w:val="24"/>
                <w:lang w:val="ru-RU" w:eastAsia="ru-RU"/>
              </w:rPr>
              <w:t>Триста пятьдесят пять тысяч шестьсот девяносто один</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083B06">
              <w:rPr>
                <w:rFonts w:ascii="Times New Roman" w:hAnsi="Times New Roman" w:cs="Times New Roman"/>
                <w:b/>
                <w:sz w:val="24"/>
                <w:szCs w:val="24"/>
                <w:lang w:val="ru-RU" w:eastAsia="ru-RU"/>
              </w:rPr>
              <w:t>ь</w:t>
            </w:r>
            <w:r w:rsidR="00FA2658">
              <w:rPr>
                <w:rFonts w:ascii="Times New Roman" w:hAnsi="Times New Roman" w:cs="Times New Roman"/>
                <w:b/>
                <w:sz w:val="24"/>
                <w:szCs w:val="24"/>
                <w:lang w:val="ru-RU" w:eastAsia="ru-RU"/>
              </w:rPr>
              <w:t xml:space="preserve"> </w:t>
            </w:r>
            <w:r w:rsidR="00083B06">
              <w:rPr>
                <w:rFonts w:ascii="Times New Roman" w:hAnsi="Times New Roman" w:cs="Times New Roman"/>
                <w:b/>
                <w:sz w:val="24"/>
                <w:szCs w:val="24"/>
                <w:lang w:val="ru-RU" w:eastAsia="ru-RU"/>
              </w:rPr>
              <w:t>29</w:t>
            </w:r>
            <w:r w:rsidR="00024C2F">
              <w:rPr>
                <w:rFonts w:ascii="Times New Roman" w:hAnsi="Times New Roman" w:cs="Times New Roman"/>
                <w:b/>
                <w:sz w:val="24"/>
                <w:szCs w:val="24"/>
                <w:lang w:val="ru-RU" w:eastAsia="ru-RU"/>
              </w:rPr>
              <w:t xml:space="preserve"> копе</w:t>
            </w:r>
            <w:r w:rsidR="00083B06">
              <w:rPr>
                <w:rFonts w:ascii="Times New Roman" w:hAnsi="Times New Roman" w:cs="Times New Roman"/>
                <w:b/>
                <w:sz w:val="24"/>
                <w:szCs w:val="24"/>
                <w:lang w:val="ru-RU" w:eastAsia="ru-RU"/>
              </w:rPr>
              <w:t>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bookmarkStart w:id="0" w:name="_GoBack"/>
            <w:bookmarkEnd w:id="0"/>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083B06">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AABD-C1E4-4F1D-A9AB-14E0B36C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33</cp:revision>
  <cp:lastPrinted>2023-06-06T12:40:00Z</cp:lastPrinted>
  <dcterms:created xsi:type="dcterms:W3CDTF">2022-05-20T09:00:00Z</dcterms:created>
  <dcterms:modified xsi:type="dcterms:W3CDTF">2023-09-19T10:12:00Z</dcterms:modified>
</cp:coreProperties>
</file>