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0178B390" w14:textId="3750A2E3" w:rsidR="00747BE6" w:rsidRPr="00FA3A95" w:rsidRDefault="004A768E" w:rsidP="0053017B">
      <w:pPr>
        <w:pStyle w:val="ConsPlusNormal"/>
        <w:ind w:left="5812"/>
        <w:rPr>
          <w:rFonts w:asciiTheme="minorHAnsi" w:hAnsiTheme="minorHAnsi" w:cstheme="minorHAnsi"/>
          <w:sz w:val="24"/>
          <w:szCs w:val="24"/>
        </w:rPr>
      </w:pPr>
      <w:r w:rsidRPr="00BD2335">
        <w:rPr>
          <w:rFonts w:asciiTheme="minorHAnsi" w:hAnsiTheme="minorHAnsi" w:cstheme="minorHAnsi"/>
          <w:sz w:val="24"/>
          <w:szCs w:val="24"/>
        </w:rPr>
        <w:t xml:space="preserve">на </w:t>
      </w:r>
      <w:r w:rsidR="000E307F" w:rsidRPr="000E307F">
        <w:rPr>
          <w:rFonts w:asciiTheme="minorHAnsi" w:hAnsiTheme="minorHAnsi" w:cstheme="minorHAnsi"/>
          <w:sz w:val="24"/>
          <w:szCs w:val="24"/>
        </w:rPr>
        <w:t>поставку туалетной бумаги для нужд ИПУ РАН</w:t>
      </w:r>
    </w:p>
    <w:p w14:paraId="0E8D4AD2" w14:textId="77777777" w:rsidR="00BD2335" w:rsidRPr="004A768E" w:rsidRDefault="00BD2335" w:rsidP="00BD2335">
      <w:pPr>
        <w:pStyle w:val="ConsPlusNormal"/>
        <w:ind w:firstLine="5103"/>
        <w:rPr>
          <w:rFonts w:asciiTheme="minorHAnsi" w:hAnsiTheme="minorHAnsi" w:cstheme="minorHAnsi"/>
          <w:sz w:val="24"/>
          <w:szCs w:val="24"/>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61F2FB09" w14:textId="2153D803" w:rsidR="004D6F46" w:rsidRDefault="000E307F" w:rsidP="00747BE6">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 xml:space="preserve">на </w:t>
      </w:r>
      <w:r w:rsidRPr="000E307F">
        <w:rPr>
          <w:rFonts w:hAnsi="Times New Roman" w:cs="Times New Roman"/>
          <w:bCs/>
          <w:color w:val="000000"/>
          <w:sz w:val="24"/>
          <w:szCs w:val="24"/>
          <w:lang w:val="ru-RU"/>
        </w:rPr>
        <w:t>поставку туалетной бумаги для нужд ИПУ РАН</w:t>
      </w:r>
    </w:p>
    <w:p w14:paraId="794F05E3" w14:textId="77777777" w:rsidR="004A768E" w:rsidRPr="004A768E" w:rsidRDefault="004A768E"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0E307F"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813D6E" w14:textId="1015D9C7" w:rsidR="00D052B4" w:rsidRPr="00D052B4" w:rsidRDefault="00D052B4" w:rsidP="00D052B4">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D052B4">
              <w:rPr>
                <w:rFonts w:ascii="Times New Roman" w:eastAsia="Times New Roman" w:hAnsi="Times New Roman" w:cs="Times New Roman"/>
                <w:b/>
                <w:sz w:val="24"/>
                <w:szCs w:val="24"/>
                <w:lang w:val="ru-RU" w:eastAsia="ru-RU"/>
              </w:rPr>
              <w:t>10 % от начальной (максимальной) цены Контракта</w:t>
            </w:r>
            <w:r w:rsidRPr="00D052B4">
              <w:rPr>
                <w:rFonts w:ascii="Times New Roman" w:eastAsia="Times New Roman" w:hAnsi="Times New Roman" w:cs="Times New Roman"/>
                <w:sz w:val="24"/>
                <w:szCs w:val="24"/>
                <w:lang w:val="ru-RU" w:eastAsia="ru-RU"/>
              </w:rPr>
              <w:t xml:space="preserve">, что составляет </w:t>
            </w:r>
            <w:r w:rsidR="000E307F" w:rsidRPr="000E307F">
              <w:rPr>
                <w:rFonts w:ascii="Times New Roman" w:eastAsia="Times New Roman" w:hAnsi="Times New Roman" w:cs="Times New Roman"/>
                <w:b/>
                <w:sz w:val="24"/>
                <w:szCs w:val="24"/>
                <w:lang w:val="ru-RU" w:eastAsia="ru-RU"/>
              </w:rPr>
              <w:t>11 755 (Одиннадцать тысяч семьсот пятьдесят пять) рублей 92 копейки</w:t>
            </w:r>
            <w:bookmarkStart w:id="0" w:name="_GoBack"/>
            <w:bookmarkEnd w:id="0"/>
            <w:r w:rsidRPr="00D052B4">
              <w:rPr>
                <w:rFonts w:ascii="Times New Roman" w:eastAsia="Times New Roman" w:hAnsi="Times New Roman" w:cs="Times New Roman"/>
                <w:b/>
                <w:sz w:val="24"/>
                <w:szCs w:val="24"/>
                <w:lang w:val="ru-RU" w:eastAsia="ru-RU"/>
              </w:rPr>
              <w:t>.</w:t>
            </w:r>
            <w:r w:rsidRPr="00D052B4">
              <w:rPr>
                <w:rFonts w:ascii="Times New Roman" w:eastAsia="Times New Roman" w:hAnsi="Times New Roman" w:cs="Times New Roman"/>
                <w:sz w:val="24"/>
                <w:szCs w:val="24"/>
                <w:lang w:val="ru-RU" w:eastAsia="ru-RU"/>
              </w:rPr>
              <w:t xml:space="preserve"> НДС не облагается.</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53ABB107"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lastRenderedPageBreak/>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23D4E38F"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41EB0BC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14:paraId="7130442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ГУ Банка России по ЦФО, УФК по г. Москве  </w:t>
            </w:r>
          </w:p>
          <w:p w14:paraId="63B2C0F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14:paraId="5BA0A94D"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lastRenderedPageBreak/>
              <w:t>Казначейский счет 03214643000000017300</w:t>
            </w:r>
          </w:p>
          <w:p w14:paraId="3D8BE15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л/с 20736Ц83220.</w:t>
            </w: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6B20A2D" w14:textId="6AEB6721"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65E9D933"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едерации от 20.12.2021 № 2369 «</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за исключением Российской Федерации, или физическим лицом, являющимся гражданином </w:t>
            </w:r>
            <w:r w:rsidRPr="00B5467D">
              <w:rPr>
                <w:rFonts w:ascii="Times New Roman" w:eastAsia="Calibri" w:hAnsi="Times New Roman" w:cs="Times New Roman"/>
                <w:sz w:val="24"/>
                <w:szCs w:val="24"/>
                <w:lang w:val="ru-RU"/>
              </w:rPr>
              <w:lastRenderedPageBreak/>
              <w:t>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lastRenderedPageBreak/>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6255BDD9" w14:textId="77777777" w:rsidR="008D0AE5" w:rsidRDefault="00747BE6" w:rsidP="008D0AE5">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w:t>
            </w:r>
            <w:r w:rsidR="008D0AE5">
              <w:rPr>
                <w:rFonts w:ascii="Times New Roman" w:eastAsia="Times New Roman" w:hAnsi="Times New Roman" w:cs="Times New Roman"/>
                <w:sz w:val="24"/>
                <w:szCs w:val="24"/>
                <w:lang w:val="ru-RU" w:eastAsia="ru-RU"/>
              </w:rPr>
              <w:t>рственных и муниципальных нужд».</w:t>
            </w:r>
          </w:p>
          <w:p w14:paraId="7A914AA1" w14:textId="0E610BCC" w:rsidR="00EF6757" w:rsidRPr="002B28F3" w:rsidRDefault="00EF6757" w:rsidP="008D0AE5">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D9E20" w14:textId="77777777" w:rsidR="008D4BB0" w:rsidRDefault="008D4BB0" w:rsidP="00EE65A5">
      <w:pPr>
        <w:spacing w:before="0" w:after="0"/>
      </w:pPr>
      <w:r>
        <w:separator/>
      </w:r>
    </w:p>
  </w:endnote>
  <w:endnote w:type="continuationSeparator" w:id="0">
    <w:p w14:paraId="0DAF9655" w14:textId="77777777" w:rsidR="008D4BB0" w:rsidRDefault="008D4BB0"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8D0AE5" w:rsidRPr="008D0AE5">
          <w:rPr>
            <w:noProof/>
            <w:lang w:val="ru-RU"/>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E110F" w14:textId="77777777" w:rsidR="008D4BB0" w:rsidRDefault="008D4BB0" w:rsidP="00EE65A5">
      <w:pPr>
        <w:spacing w:before="0" w:after="0"/>
      </w:pPr>
      <w:r>
        <w:separator/>
      </w:r>
    </w:p>
  </w:footnote>
  <w:footnote w:type="continuationSeparator" w:id="0">
    <w:p w14:paraId="1603A02F" w14:textId="77777777" w:rsidR="008D4BB0" w:rsidRDefault="008D4BB0"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307F"/>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D6F46"/>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85618"/>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0AE5"/>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52B4"/>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CAB89F11-BB90-4553-A9D7-66C2493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D0249-3B04-4E57-A1E6-7F6FDD21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1700</Words>
  <Characters>9696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13</cp:revision>
  <cp:lastPrinted>2025-05-05T15:43:00Z</cp:lastPrinted>
  <dcterms:created xsi:type="dcterms:W3CDTF">2024-07-09T19:39:00Z</dcterms:created>
  <dcterms:modified xsi:type="dcterms:W3CDTF">2025-10-13T09:46:00Z</dcterms:modified>
</cp:coreProperties>
</file>