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1E2F86">
      <w:pPr>
        <w:spacing w:before="0" w:beforeAutospacing="0" w:after="0" w:afterAutospacing="0"/>
        <w:ind w:left="5245"/>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FE0203" w:rsidRPr="00270DE4" w:rsidRDefault="008559EF" w:rsidP="001E2F86">
      <w:pPr>
        <w:spacing w:before="0" w:beforeAutospacing="0" w:after="0" w:afterAutospacing="0"/>
        <w:ind w:left="5245"/>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w:t>
      </w:r>
      <w:r w:rsidR="002B7478" w:rsidRPr="002B7478">
        <w:rPr>
          <w:rFonts w:hAnsi="Times New Roman" w:cs="Times New Roman"/>
          <w:bCs/>
          <w:color w:val="000000"/>
          <w:sz w:val="24"/>
          <w:szCs w:val="24"/>
          <w:lang w:val="ru-RU"/>
        </w:rPr>
        <w:t xml:space="preserve">об осуществлении закупки при </w:t>
      </w:r>
      <w:r w:rsidR="002B7478">
        <w:rPr>
          <w:rFonts w:hAnsi="Times New Roman" w:cs="Times New Roman"/>
          <w:bCs/>
          <w:color w:val="000000"/>
          <w:sz w:val="24"/>
          <w:szCs w:val="24"/>
          <w:lang w:val="ru-RU"/>
        </w:rPr>
        <w:t xml:space="preserve">проведении </w:t>
      </w:r>
      <w:r w:rsidRPr="008559EF">
        <w:rPr>
          <w:rFonts w:hAnsi="Times New Roman" w:cs="Times New Roman"/>
          <w:bCs/>
          <w:color w:val="000000"/>
          <w:sz w:val="24"/>
          <w:szCs w:val="24"/>
          <w:lang w:val="ru-RU"/>
        </w:rPr>
        <w:t xml:space="preserve">электронного </w:t>
      </w:r>
      <w:r w:rsidR="009A4ACF" w:rsidRPr="008559EF">
        <w:rPr>
          <w:rFonts w:hAnsi="Times New Roman" w:cs="Times New Roman"/>
          <w:bCs/>
          <w:color w:val="000000"/>
          <w:sz w:val="24"/>
          <w:szCs w:val="24"/>
          <w:lang w:val="ru-RU"/>
        </w:rPr>
        <w:t>аукциона</w:t>
      </w:r>
      <w:r w:rsidR="001E2F86">
        <w:rPr>
          <w:rFonts w:hAnsi="Times New Roman" w:cs="Times New Roman"/>
          <w:bCs/>
          <w:color w:val="000000"/>
          <w:sz w:val="24"/>
          <w:szCs w:val="24"/>
          <w:lang w:val="ru-RU"/>
        </w:rPr>
        <w:t xml:space="preserve">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056A8E">
        <w:rPr>
          <w:rFonts w:hAnsi="Times New Roman" w:cs="Times New Roman"/>
          <w:bCs/>
          <w:color w:val="000000"/>
          <w:sz w:val="24"/>
          <w:szCs w:val="24"/>
          <w:lang w:val="ru-RU"/>
        </w:rPr>
        <w:t>профилированного листа</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270DE4">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270DE4" w:rsidRPr="00270DE4" w:rsidRDefault="00270DE4" w:rsidP="00270DE4">
      <w:pPr>
        <w:spacing w:before="0" w:beforeAutospacing="0" w:after="0" w:afterAutospacing="0"/>
        <w:jc w:val="center"/>
        <w:rPr>
          <w:rFonts w:hAnsi="Times New Roman" w:cs="Times New Roman"/>
          <w:b/>
          <w:bCs/>
          <w:color w:val="000000"/>
          <w:sz w:val="24"/>
          <w:szCs w:val="24"/>
          <w:lang w:val="ru-RU"/>
        </w:rPr>
      </w:pPr>
      <w:r w:rsidRPr="00270DE4">
        <w:rPr>
          <w:rFonts w:hAnsi="Times New Roman" w:cs="Times New Roman"/>
          <w:b/>
          <w:bCs/>
          <w:color w:val="000000"/>
          <w:sz w:val="24"/>
          <w:szCs w:val="24"/>
          <w:lang w:val="ru-RU"/>
        </w:rPr>
        <w:t xml:space="preserve">на поставку </w:t>
      </w:r>
      <w:r w:rsidR="00056A8E">
        <w:rPr>
          <w:rFonts w:hAnsi="Times New Roman" w:cs="Times New Roman"/>
          <w:b/>
          <w:bCs/>
          <w:color w:val="000000"/>
          <w:sz w:val="24"/>
          <w:szCs w:val="24"/>
          <w:lang w:val="ru-RU"/>
        </w:rPr>
        <w:t>профилированного листа</w:t>
      </w:r>
    </w:p>
    <w:p w:rsidR="00A708E5" w:rsidRPr="002377F7" w:rsidRDefault="00A708E5" w:rsidP="00705B0E">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w:t>
            </w:r>
            <w:bookmarkStart w:id="0" w:name="_GoBack"/>
            <w:bookmarkEnd w:id="0"/>
            <w:r w:rsidR="009E15B7" w:rsidRPr="00C1798B">
              <w:rPr>
                <w:rFonts w:ascii="Times New Roman" w:hAnsi="Times New Roman" w:cs="Times New Roman"/>
                <w:i/>
                <w:sz w:val="24"/>
                <w:szCs w:val="24"/>
                <w:lang w:val="ru-RU"/>
              </w:rPr>
              <w:t>но</w:t>
            </w:r>
            <w:r w:rsidR="00C1798B">
              <w:rPr>
                <w:rFonts w:ascii="Times New Roman" w:eastAsia="Times New Roman" w:hAnsi="Times New Roman" w:cs="Times New Roman"/>
                <w:i/>
                <w:sz w:val="24"/>
                <w:szCs w:val="24"/>
                <w:lang w:val="ru-RU" w:eastAsia="ru-RU"/>
              </w:rPr>
              <w:t>.</w:t>
            </w:r>
          </w:p>
        </w:tc>
      </w:tr>
      <w:tr w:rsidR="00D75D24" w:rsidRPr="00D053D4"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7664D2">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7664D2">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w:t>
            </w:r>
            <w:r w:rsidR="007664D2">
              <w:rPr>
                <w:rFonts w:ascii="Times New Roman" w:hAnsi="Times New Roman" w:cs="Times New Roman"/>
                <w:sz w:val="24"/>
                <w:szCs w:val="24"/>
                <w:lang w:val="ru-RU"/>
              </w:rPr>
              <w:t xml:space="preserve">е – Федеральный закон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D053D4"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но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не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менее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чем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десять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 xml:space="preserve">процентов </w:t>
            </w:r>
            <w:r w:rsidR="00D053D4">
              <w:rPr>
                <w:rFonts w:ascii="Times New Roman" w:eastAsia="Calibri" w:hAnsi="Times New Roman" w:cs="Times New Roman"/>
                <w:sz w:val="24"/>
                <w:szCs w:val="24"/>
                <w:lang w:val="ru-RU"/>
              </w:rPr>
              <w:t xml:space="preserve">  </w:t>
            </w:r>
            <w:r w:rsidRPr="00221B8A">
              <w:rPr>
                <w:rFonts w:ascii="Times New Roman" w:eastAsia="Calibri" w:hAnsi="Times New Roman" w:cs="Times New Roman"/>
                <w:sz w:val="24"/>
                <w:szCs w:val="24"/>
                <w:lang w:val="ru-RU"/>
              </w:rPr>
              <w:t>от</w:t>
            </w:r>
          </w:p>
          <w:p w:rsidR="00D053D4" w:rsidRDefault="00D053D4"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p>
          <w:p w:rsidR="00221B8A" w:rsidRP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221B8A" w:rsidRPr="001776F0" w:rsidRDefault="00221B8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DF6E36">
              <w:rPr>
                <w:rFonts w:ascii="Times New Roman" w:eastAsia="Times New Roman" w:hAnsi="Times New Roman" w:cs="Times New Roman"/>
                <w:sz w:val="24"/>
                <w:szCs w:val="24"/>
                <w:lang w:val="ru-RU" w:eastAsia="ru-RU"/>
              </w:rPr>
              <w:t xml:space="preserve"> № </w:t>
            </w:r>
            <w:r w:rsidR="00C80819">
              <w:rPr>
                <w:rFonts w:ascii="Times New Roman" w:eastAsia="Times New Roman" w:hAnsi="Times New Roman" w:cs="Times New Roman"/>
                <w:sz w:val="24"/>
                <w:szCs w:val="24"/>
                <w:lang w:val="ru-RU" w:eastAsia="ru-RU"/>
              </w:rPr>
              <w:t>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lastRenderedPageBreak/>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sidR="00185D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056A8E">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w:t>
            </w:r>
            <w:r w:rsidRPr="00B5467D">
              <w:rPr>
                <w:rFonts w:ascii="Times New Roman" w:eastAsia="Calibri" w:hAnsi="Times New Roman" w:cs="Times New Roman"/>
                <w:sz w:val="24"/>
                <w:szCs w:val="24"/>
                <w:lang w:val="ru-RU"/>
              </w:rPr>
              <w:lastRenderedPageBreak/>
              <w:t xml:space="preserve">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C71AB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C71ABD"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C71AB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DF6E36">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DF6E36">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sidR="00DF6E36">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sidR="00DF6E36">
              <w:rPr>
                <w:rFonts w:ascii="Times New Roman" w:eastAsia="Calibri" w:hAnsi="Times New Roman" w:cs="Times New Roman"/>
                <w:sz w:val="24"/>
                <w:szCs w:val="24"/>
                <w:lang w:val="ru-RU"/>
              </w:rPr>
              <w:t>независимы</w:t>
            </w:r>
            <w:r w:rsidRPr="00C1798B">
              <w:rPr>
                <w:rFonts w:ascii="Times New Roman" w:eastAsia="Calibri" w:hAnsi="Times New Roman" w:cs="Times New Roman"/>
                <w:sz w:val="24"/>
                <w:szCs w:val="24"/>
                <w:lang w:val="ru-RU"/>
              </w:rPr>
              <w:t>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DF6E36">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sidR="00DF6E36">
              <w:rPr>
                <w:rFonts w:ascii="Times New Roman" w:eastAsia="Times New Roman" w:hAnsi="Times New Roman" w:cs="Times New Roman"/>
                <w:i/>
                <w:sz w:val="24"/>
                <w:szCs w:val="24"/>
                <w:lang w:val="ru-RU" w:eastAsia="ru-RU"/>
              </w:rPr>
              <w:t xml:space="preserve">акупки и документации о закупке в соответствии с ч. 8.1 ст. 96 </w:t>
            </w:r>
            <w:r w:rsidR="00DF6E36" w:rsidRPr="00DF6E36">
              <w:rPr>
                <w:rFonts w:ascii="Times New Roman" w:eastAsia="Times New Roman" w:hAnsi="Times New Roman" w:cs="Times New Roman"/>
                <w:i/>
                <w:sz w:val="24"/>
                <w:szCs w:val="24"/>
                <w:lang w:val="ru-RU" w:eastAsia="ru-RU"/>
              </w:rPr>
              <w:t>Федеральн</w:t>
            </w:r>
            <w:r w:rsidR="00DF6E36">
              <w:rPr>
                <w:rFonts w:ascii="Times New Roman" w:eastAsia="Times New Roman" w:hAnsi="Times New Roman" w:cs="Times New Roman"/>
                <w:i/>
                <w:sz w:val="24"/>
                <w:szCs w:val="24"/>
                <w:lang w:val="ru-RU" w:eastAsia="ru-RU"/>
              </w:rPr>
              <w:t>ого закона</w:t>
            </w:r>
            <w:r w:rsidR="00DF6E36" w:rsidRPr="00DF6E36">
              <w:rPr>
                <w:rFonts w:ascii="Times New Roman" w:eastAsia="Times New Roman" w:hAnsi="Times New Roman" w:cs="Times New Roman"/>
                <w:i/>
                <w:sz w:val="24"/>
                <w:szCs w:val="24"/>
                <w:lang w:val="ru-RU" w:eastAsia="ru-RU"/>
              </w:rPr>
              <w:t xml:space="preserve"> № 44-ФЗ</w:t>
            </w:r>
          </w:p>
        </w:tc>
      </w:tr>
      <w:tr w:rsidR="00D75D24" w:rsidRPr="00D053D4"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056A8E"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056A8E" w:rsidP="00270DE4">
            <w:pPr>
              <w:pStyle w:val="formattext"/>
              <w:shd w:val="clear" w:color="auto" w:fill="FFFFFF"/>
              <w:spacing w:before="0" w:beforeAutospacing="0" w:after="0" w:afterAutospacing="0"/>
              <w:jc w:val="both"/>
              <w:textAlignment w:val="baseline"/>
            </w:pPr>
            <w:r>
              <w:t>Не установлено</w:t>
            </w:r>
          </w:p>
        </w:tc>
      </w:tr>
      <w:tr w:rsidR="007664D2" w:rsidRPr="00056A8E" w:rsidTr="001E2F86">
        <w:trPr>
          <w:trHeight w:val="1472"/>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056A8E" w:rsidP="001E2F86">
            <w:pPr>
              <w:pStyle w:val="formattext"/>
              <w:spacing w:before="0" w:beforeAutospacing="0" w:after="0" w:afterAutospacing="0"/>
              <w:jc w:val="both"/>
            </w:pPr>
            <w:r>
              <w:t>Не установлено</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B32A58" w:rsidRPr="00B32A58">
          <w:rPr>
            <w:noProof/>
            <w:lang w:val="ru-RU"/>
          </w:rPr>
          <w:t>6</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2A5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D016F2"/>
    <w:rsid w:val="00D03FA2"/>
    <w:rsid w:val="00D053D4"/>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DF6E36"/>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FC2A-BA73-4683-AB90-6FF82A31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2022-10-28T13:02:00Z</cp:lastPrinted>
  <dcterms:created xsi:type="dcterms:W3CDTF">2022-08-09T09:51:00Z</dcterms:created>
  <dcterms:modified xsi:type="dcterms:W3CDTF">2022-10-28T14:02:00Z</dcterms:modified>
</cp:coreProperties>
</file>