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1E2F86">
      <w:pPr>
        <w:spacing w:before="0" w:beforeAutospacing="0" w:after="0" w:afterAutospacing="0"/>
        <w:ind w:left="5245"/>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При</w:t>
      </w:r>
      <w:bookmarkStart w:id="0" w:name="_GoBack"/>
      <w:bookmarkEnd w:id="0"/>
      <w:r w:rsidRPr="00FE0203">
        <w:rPr>
          <w:rFonts w:hAnsi="Times New Roman" w:cs="Times New Roman"/>
          <w:bCs/>
          <w:color w:val="000000"/>
          <w:sz w:val="24"/>
          <w:szCs w:val="24"/>
          <w:lang w:val="ru-RU"/>
        </w:rPr>
        <w:t xml:space="preserve">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FE0203" w:rsidRPr="00270DE4" w:rsidRDefault="008559EF" w:rsidP="001E2F86">
      <w:pPr>
        <w:spacing w:before="0" w:beforeAutospacing="0" w:after="0" w:afterAutospacing="0"/>
        <w:ind w:left="5245"/>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w:t>
      </w:r>
      <w:r w:rsidR="002B7478" w:rsidRPr="002B7478">
        <w:rPr>
          <w:rFonts w:hAnsi="Times New Roman" w:cs="Times New Roman"/>
          <w:bCs/>
          <w:color w:val="000000"/>
          <w:sz w:val="24"/>
          <w:szCs w:val="24"/>
          <w:lang w:val="ru-RU"/>
        </w:rPr>
        <w:t xml:space="preserve">об осуществлении закупки при </w:t>
      </w:r>
      <w:r w:rsidR="002B7478">
        <w:rPr>
          <w:rFonts w:hAnsi="Times New Roman" w:cs="Times New Roman"/>
          <w:bCs/>
          <w:color w:val="000000"/>
          <w:sz w:val="24"/>
          <w:szCs w:val="24"/>
          <w:lang w:val="ru-RU"/>
        </w:rPr>
        <w:t xml:space="preserve">проведении </w:t>
      </w:r>
      <w:r w:rsidRPr="008559EF">
        <w:rPr>
          <w:rFonts w:hAnsi="Times New Roman" w:cs="Times New Roman"/>
          <w:bCs/>
          <w:color w:val="000000"/>
          <w:sz w:val="24"/>
          <w:szCs w:val="24"/>
          <w:lang w:val="ru-RU"/>
        </w:rPr>
        <w:t xml:space="preserve">электронного </w:t>
      </w:r>
      <w:r w:rsidR="009A4ACF" w:rsidRPr="008559EF">
        <w:rPr>
          <w:rFonts w:hAnsi="Times New Roman" w:cs="Times New Roman"/>
          <w:bCs/>
          <w:color w:val="000000"/>
          <w:sz w:val="24"/>
          <w:szCs w:val="24"/>
          <w:lang w:val="ru-RU"/>
        </w:rPr>
        <w:t>аукциона</w:t>
      </w:r>
      <w:r w:rsidR="001E2F86">
        <w:rPr>
          <w:rFonts w:hAnsi="Times New Roman" w:cs="Times New Roman"/>
          <w:bCs/>
          <w:color w:val="000000"/>
          <w:sz w:val="24"/>
          <w:szCs w:val="24"/>
          <w:lang w:val="ru-RU"/>
        </w:rPr>
        <w:t xml:space="preserve">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2B7478">
        <w:rPr>
          <w:rFonts w:hAnsi="Times New Roman" w:cs="Times New Roman"/>
          <w:bCs/>
          <w:color w:val="000000"/>
          <w:sz w:val="24"/>
          <w:szCs w:val="24"/>
          <w:lang w:val="ru-RU"/>
        </w:rPr>
        <w:t xml:space="preserve">знаков эвакуации для нужд </w:t>
      </w:r>
      <w:r w:rsidR="002B7478">
        <w:rPr>
          <w:rFonts w:hAnsi="Times New Roman" w:cs="Times New Roman"/>
          <w:bCs/>
          <w:color w:val="000000"/>
          <w:sz w:val="24"/>
          <w:szCs w:val="24"/>
          <w:lang w:val="ru-RU"/>
        </w:rPr>
        <w:br/>
        <w:t>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270DE4" w:rsidRPr="00270DE4" w:rsidRDefault="00270DE4" w:rsidP="00270DE4">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 Извещению </w:t>
      </w:r>
      <w:r w:rsidRPr="00270DE4">
        <w:rPr>
          <w:rFonts w:hAnsi="Times New Roman" w:cs="Times New Roman"/>
          <w:bCs/>
          <w:color w:val="000000"/>
          <w:sz w:val="24"/>
          <w:szCs w:val="24"/>
          <w:lang w:val="ru-RU"/>
        </w:rPr>
        <w:t>об осуществлении закупки при проведении электронного аукциона</w:t>
      </w:r>
    </w:p>
    <w:p w:rsidR="00270DE4" w:rsidRPr="00270DE4" w:rsidRDefault="00270DE4" w:rsidP="00270DE4">
      <w:pPr>
        <w:spacing w:before="0" w:beforeAutospacing="0" w:after="0" w:afterAutospacing="0"/>
        <w:jc w:val="center"/>
        <w:rPr>
          <w:rFonts w:hAnsi="Times New Roman" w:cs="Times New Roman"/>
          <w:b/>
          <w:bCs/>
          <w:color w:val="000000"/>
          <w:sz w:val="24"/>
          <w:szCs w:val="24"/>
          <w:lang w:val="ru-RU"/>
        </w:rPr>
      </w:pPr>
      <w:r w:rsidRPr="00270DE4">
        <w:rPr>
          <w:rFonts w:hAnsi="Times New Roman" w:cs="Times New Roman"/>
          <w:b/>
          <w:bCs/>
          <w:color w:val="000000"/>
          <w:sz w:val="24"/>
          <w:szCs w:val="24"/>
          <w:lang w:val="ru-RU"/>
        </w:rPr>
        <w:t xml:space="preserve">на поставку </w:t>
      </w:r>
      <w:r w:rsidR="002B7478">
        <w:rPr>
          <w:rFonts w:hAnsi="Times New Roman" w:cs="Times New Roman"/>
          <w:b/>
          <w:bCs/>
          <w:color w:val="000000"/>
          <w:sz w:val="24"/>
          <w:szCs w:val="24"/>
          <w:lang w:val="ru-RU"/>
        </w:rPr>
        <w:t>знаков эвакуации для нужд ИПУ РАН</w:t>
      </w:r>
    </w:p>
    <w:p w:rsidR="00A708E5" w:rsidRPr="002377F7" w:rsidRDefault="00A708E5" w:rsidP="00705B0E">
      <w:pPr>
        <w:spacing w:before="0" w:beforeAutospacing="0" w:after="0" w:afterAutospacing="0"/>
        <w:jc w:val="center"/>
        <w:rPr>
          <w:rFonts w:hAnsi="Times New Roman" w:cs="Times New Roman"/>
          <w:b/>
          <w:bCs/>
          <w:color w:val="000000"/>
          <w:sz w:val="24"/>
          <w:szCs w:val="24"/>
          <w:lang w:val="ru-RU"/>
        </w:rPr>
      </w:pPr>
    </w:p>
    <w:tbl>
      <w:tblPr>
        <w:tblW w:w="10207" w:type="dxa"/>
        <w:tblInd w:w="-269" w:type="dxa"/>
        <w:tblLayout w:type="fixed"/>
        <w:tblCellMar>
          <w:top w:w="15" w:type="dxa"/>
          <w:left w:w="15" w:type="dxa"/>
          <w:bottom w:w="15" w:type="dxa"/>
          <w:right w:w="15" w:type="dxa"/>
        </w:tblCellMar>
        <w:tblLook w:val="0600" w:firstRow="0" w:lastRow="0" w:firstColumn="0" w:lastColumn="0" w:noHBand="1" w:noVBand="1"/>
      </w:tblPr>
      <w:tblGrid>
        <w:gridCol w:w="568"/>
        <w:gridCol w:w="3827"/>
        <w:gridCol w:w="5812"/>
      </w:tblGrid>
      <w:tr w:rsidR="00D75D24" w:rsidRPr="0069528D" w:rsidTr="00A961EB">
        <w:trPr>
          <w:trHeight w:val="1113"/>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C1798B" w:rsidRDefault="00705B0E" w:rsidP="00705B0E">
            <w:pPr>
              <w:spacing w:before="0" w:beforeAutospacing="0" w:after="0" w:afterAutospacing="0"/>
              <w:rPr>
                <w:rFonts w:hAnsi="Times New Roman" w:cs="Times New Roman"/>
                <w:i/>
                <w:color w:val="000000"/>
                <w:sz w:val="24"/>
                <w:szCs w:val="24"/>
                <w:lang w:val="ru-RU"/>
              </w:rPr>
            </w:pPr>
            <w:r w:rsidRPr="00C1798B">
              <w:rPr>
                <w:rFonts w:ascii="Times New Roman" w:hAnsi="Times New Roman" w:cs="Times New Roman"/>
                <w:i/>
                <w:sz w:val="24"/>
                <w:szCs w:val="24"/>
                <w:lang w:val="ru-RU"/>
              </w:rPr>
              <w:t>Требование н</w:t>
            </w:r>
            <w:r w:rsidR="009E15B7" w:rsidRPr="00C1798B">
              <w:rPr>
                <w:rFonts w:ascii="Times New Roman" w:hAnsi="Times New Roman" w:cs="Times New Roman"/>
                <w:i/>
                <w:sz w:val="24"/>
                <w:szCs w:val="24"/>
                <w:lang w:val="ru-RU"/>
              </w:rPr>
              <w:t>е установлено</w:t>
            </w:r>
            <w:r w:rsidR="00C1798B">
              <w:rPr>
                <w:rFonts w:ascii="Times New Roman" w:eastAsia="Times New Roman" w:hAnsi="Times New Roman" w:cs="Times New Roman"/>
                <w:i/>
                <w:sz w:val="24"/>
                <w:szCs w:val="24"/>
                <w:lang w:val="ru-RU" w:eastAsia="ru-RU"/>
              </w:rPr>
              <w:t>.</w:t>
            </w:r>
          </w:p>
        </w:tc>
      </w:tr>
      <w:tr w:rsidR="00D75D24" w:rsidRPr="009C306A" w:rsidTr="00A961EB">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7664D2">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7664D2">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7664D2"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00705B0E" w:rsidRPr="00705B0E">
              <w:rPr>
                <w:rFonts w:ascii="Times New Roman"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r w:rsidR="00705B0E">
              <w:rPr>
                <w:rFonts w:ascii="Times New Roman" w:hAnsi="Times New Roman" w:cs="Times New Roman"/>
                <w:sz w:val="24"/>
                <w:szCs w:val="24"/>
                <w:lang w:val="ru-RU"/>
              </w:rPr>
              <w:t xml:space="preserve"> (дале</w:t>
            </w:r>
            <w:r w:rsidR="007664D2">
              <w:rPr>
                <w:rFonts w:ascii="Times New Roman" w:hAnsi="Times New Roman" w:cs="Times New Roman"/>
                <w:sz w:val="24"/>
                <w:szCs w:val="24"/>
                <w:lang w:val="ru-RU"/>
              </w:rPr>
              <w:t xml:space="preserve">е – Федеральный закон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46324A"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sz w:val="24"/>
                <w:szCs w:val="24"/>
                <w:lang w:val="ru-RU"/>
              </w:rPr>
              <w:t>).</w:t>
            </w:r>
          </w:p>
          <w:p w:rsidR="00221B8A" w:rsidRP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w:t>
            </w:r>
            <w:r w:rsidR="009C306A">
              <w:rPr>
                <w:rFonts w:ascii="Times New Roman" w:eastAsia="Calibri" w:hAnsi="Times New Roman" w:cs="Times New Roman"/>
                <w:sz w:val="24"/>
                <w:szCs w:val="24"/>
                <w:lang w:val="ru-RU"/>
              </w:rPr>
              <w:t xml:space="preserve">10 </w:t>
            </w:r>
            <w:r w:rsidRPr="00221B8A">
              <w:rPr>
                <w:rFonts w:ascii="Times New Roman" w:eastAsia="Calibri" w:hAnsi="Times New Roman" w:cs="Times New Roman"/>
                <w:sz w:val="24"/>
                <w:szCs w:val="24"/>
                <w:lang w:val="ru-RU"/>
              </w:rPr>
              <w:t xml:space="preserve">процентов от </w:t>
            </w:r>
            <w:r w:rsidRPr="00221B8A">
              <w:rPr>
                <w:rFonts w:ascii="Times New Roman" w:eastAsia="Calibri" w:hAnsi="Times New Roman" w:cs="Times New Roman"/>
                <w:sz w:val="24"/>
                <w:szCs w:val="24"/>
                <w:lang w:val="ru-RU"/>
              </w:rPr>
              <w:lastRenderedPageBreak/>
              <w:t>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21B8A" w:rsidRDefault="00221B8A" w:rsidP="00221B8A">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sidRPr="00221B8A">
              <w:rPr>
                <w:rFonts w:ascii="Times New Roman" w:eastAsia="Calibri" w:hAnsi="Times New Roman" w:cs="Times New Roman"/>
                <w:sz w:val="24"/>
                <w:szCs w:val="24"/>
                <w:lang w:val="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 44-ФЗ, к такому участнику не применяется.</w:t>
            </w:r>
          </w:p>
          <w:p w:rsidR="00221B8A" w:rsidRPr="001776F0" w:rsidRDefault="00221B8A"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46324A"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w:t>
            </w:r>
            <w:r w:rsidR="00C80819">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t>№ 44-ФЗ</w:t>
            </w:r>
            <w:r w:rsidRPr="00B5467D">
              <w:rPr>
                <w:rFonts w:ascii="Times New Roman" w:eastAsia="Times New Roman" w:hAnsi="Times New Roman" w:cs="Times New Roman"/>
                <w:sz w:val="24"/>
                <w:szCs w:val="24"/>
                <w:lang w:val="ru-RU" w:eastAsia="ru-RU"/>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00705B0E">
              <w:rPr>
                <w:rFonts w:ascii="Times New Roman" w:eastAsia="Times New Roman" w:hAnsi="Times New Roman" w:cs="Times New Roman"/>
                <w:sz w:val="24"/>
                <w:szCs w:val="24"/>
                <w:lang w:val="ru-RU" w:eastAsia="ru-RU"/>
              </w:rPr>
              <w:t>статьей 95 Федерального закона</w:t>
            </w:r>
            <w:r w:rsidR="00C80819">
              <w:rPr>
                <w:rFonts w:ascii="Times New Roman" w:eastAsia="Times New Roman" w:hAnsi="Times New Roman" w:cs="Times New Roman"/>
                <w:sz w:val="24"/>
                <w:szCs w:val="24"/>
                <w:lang w:val="ru-RU" w:eastAsia="ru-RU"/>
              </w:rPr>
              <w:t xml:space="preserve"> № № 44-ФЗ</w:t>
            </w:r>
            <w:r w:rsidR="00705B0E">
              <w:rPr>
                <w:rFonts w:ascii="Times New Roman" w:eastAsia="Times New Roman" w:hAnsi="Times New Roman" w:cs="Times New Roman"/>
                <w:sz w:val="24"/>
                <w:szCs w:val="24"/>
                <w:lang w:val="ru-RU" w:eastAsia="ru-RU"/>
              </w:rPr>
              <w:t>.</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lastRenderedPageBreak/>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46324A"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C1798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C1798B">
              <w:rPr>
                <w:rFonts w:ascii="Times New Roman" w:eastAsia="Times New Roman" w:hAnsi="Times New Roman" w:cs="Times New Roman"/>
                <w:b/>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00705B0E">
              <w:rPr>
                <w:rFonts w:ascii="Times New Roman" w:eastAsia="Times New Roman" w:hAnsi="Times New Roman" w:cs="Times New Roman"/>
                <w:sz w:val="24"/>
                <w:szCs w:val="24"/>
                <w:lang w:val="ru-RU" w:eastAsia="ru-RU"/>
              </w:rPr>
              <w:t xml:space="preserve">Предоставление обеспечения </w:t>
            </w:r>
            <w:r w:rsidRPr="00B5467D">
              <w:rPr>
                <w:rFonts w:ascii="Times New Roman" w:eastAsia="Times New Roman" w:hAnsi="Times New Roman" w:cs="Times New Roman"/>
                <w:sz w:val="24"/>
                <w:szCs w:val="24"/>
                <w:lang w:val="ru-RU" w:eastAsia="ru-RU"/>
              </w:rPr>
              <w:t>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 соответствующими требованиям, установленным Правит</w:t>
            </w:r>
            <w:r w:rsidR="00185D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w:t>
            </w:r>
            <w:r w:rsidR="007664D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w:t>
            </w:r>
            <w:r w:rsidRPr="00B5467D">
              <w:rPr>
                <w:rFonts w:ascii="Times New Roman" w:eastAsia="Calibri" w:hAnsi="Times New Roman" w:cs="Times New Roman"/>
                <w:sz w:val="24"/>
                <w:szCs w:val="24"/>
                <w:lang w:val="ru-RU"/>
              </w:rPr>
              <w:lastRenderedPageBreak/>
              <w:t xml:space="preserve">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C80819">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46324A"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bCs/>
                <w:sz w:val="24"/>
                <w:szCs w:val="24"/>
                <w:lang w:val="ru-RU"/>
              </w:rPr>
              <w:t xml:space="preserve">. </w:t>
            </w:r>
          </w:p>
          <w:p w:rsidR="00B5467D" w:rsidRPr="0046324A"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840940"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840940">
              <w:rPr>
                <w:rFonts w:ascii="Times New Roman" w:eastAsia="Calibri" w:hAnsi="Times New Roman" w:cs="Times New Roman"/>
                <w:iCs/>
                <w:sz w:val="24"/>
                <w:szCs w:val="24"/>
                <w:lang w:val="ru-RU"/>
              </w:rPr>
              <w:t xml:space="preserve">В соответствии с частями 2, 3 и 3.1 статьи </w:t>
            </w:r>
            <w:r w:rsidRPr="00840940">
              <w:rPr>
                <w:rFonts w:ascii="Times New Roman" w:eastAsia="Calibri" w:hAnsi="Times New Roman" w:cs="Times New Roman"/>
                <w:bCs/>
                <w:iCs/>
                <w:sz w:val="24"/>
                <w:szCs w:val="24"/>
                <w:lang w:val="ru-RU"/>
              </w:rPr>
              <w:t xml:space="preserve">45 </w:t>
            </w:r>
            <w:r w:rsidRPr="00840940">
              <w:rPr>
                <w:rFonts w:ascii="Times New Roman" w:eastAsia="Calibri" w:hAnsi="Times New Roman" w:cs="Times New Roman"/>
                <w:iCs/>
                <w:sz w:val="24"/>
                <w:szCs w:val="24"/>
                <w:lang w:val="ru-RU"/>
              </w:rPr>
              <w:t>Федерального закона № 44-ФЗ</w:t>
            </w:r>
            <w:r w:rsidR="00705B0E">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C71AB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C71ABD" w:rsidRPr="00C71ABD">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C71AB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F05BA" w:rsidRPr="00C1798B" w:rsidRDefault="00B5467D"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 xml:space="preserve">8) </w:t>
            </w:r>
            <w:r w:rsidR="000F05BA" w:rsidRPr="00C1798B">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F05BA" w:rsidRPr="00C1798B" w:rsidRDefault="000F05BA" w:rsidP="000F05B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C1798B">
              <w:rPr>
                <w:rFonts w:ascii="Times New Roman" w:eastAsia="Calibri" w:hAnsi="Times New Roman" w:cs="Times New Roman"/>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75D24" w:rsidRDefault="00B5467D" w:rsidP="00B5467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C1798B">
              <w:rPr>
                <w:rFonts w:ascii="Times New Roman" w:eastAsia="Calibri" w:hAnsi="Times New Roman" w:cs="Times New Roman"/>
                <w:sz w:val="24"/>
                <w:szCs w:val="24"/>
                <w:lang w:val="ru-RU"/>
              </w:rPr>
              <w:t xml:space="preserve">9) уменьшение в соответствии с частями 7 и 7.1 статьи 96 </w:t>
            </w:r>
            <w:r w:rsidRPr="00C1798B">
              <w:rPr>
                <w:rFonts w:ascii="Times New Roman" w:eastAsia="Times New Roman" w:hAnsi="Times New Roman" w:cs="Times New Roman"/>
                <w:sz w:val="24"/>
                <w:szCs w:val="24"/>
                <w:lang w:val="ru-RU" w:eastAsia="ru-RU"/>
              </w:rPr>
              <w:t xml:space="preserve">Федерального закона </w:t>
            </w:r>
            <w:r w:rsidR="00705B0E" w:rsidRPr="00C1798B">
              <w:rPr>
                <w:rFonts w:ascii="Times New Roman" w:eastAsia="Times New Roman" w:hAnsi="Times New Roman" w:cs="Times New Roman"/>
                <w:sz w:val="24"/>
                <w:szCs w:val="24"/>
                <w:lang w:val="ru-RU" w:eastAsia="ru-RU"/>
              </w:rPr>
              <w:t xml:space="preserve">№ 44-ФЗ </w:t>
            </w:r>
            <w:r w:rsidRPr="00C1798B">
              <w:rPr>
                <w:rFonts w:ascii="Times New Roman" w:eastAsia="Calibri" w:hAnsi="Times New Roman" w:cs="Times New Roman"/>
                <w:sz w:val="24"/>
                <w:szCs w:val="24"/>
                <w:lang w:val="ru-RU"/>
              </w:rPr>
              <w:t>размера обеспечения исполнения</w:t>
            </w:r>
            <w:r w:rsidRPr="00B5467D">
              <w:rPr>
                <w:rFonts w:ascii="Times New Roman" w:eastAsia="Calibri" w:hAnsi="Times New Roman" w:cs="Times New Roman"/>
                <w:sz w:val="24"/>
                <w:szCs w:val="24"/>
                <w:lang w:val="ru-RU"/>
              </w:rPr>
              <w:t xml:space="preserve">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00705B0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705B0E">
              <w:rPr>
                <w:rFonts w:ascii="Times New Roman" w:eastAsia="Times New Roman" w:hAnsi="Times New Roman" w:cs="Times New Roman"/>
                <w:sz w:val="24"/>
                <w:szCs w:val="24"/>
                <w:lang w:val="ru-RU" w:eastAsia="ru-RU"/>
              </w:rPr>
              <w:t xml:space="preserve"> </w:t>
            </w:r>
            <w:r w:rsidR="00C80819">
              <w:rPr>
                <w:rFonts w:ascii="Times New Roman" w:eastAsia="Times New Roman" w:hAnsi="Times New Roman" w:cs="Times New Roman"/>
                <w:sz w:val="24"/>
                <w:szCs w:val="24"/>
                <w:lang w:val="ru-RU" w:eastAsia="ru-RU"/>
              </w:rPr>
              <w:br/>
            </w:r>
            <w:r w:rsidR="00705B0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20791" w:rsidRPr="009A4ACF" w:rsidRDefault="00F20791" w:rsidP="00F20791">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w:t>
            </w:r>
            <w:r w:rsidR="0063173B" w:rsidRPr="0046324A">
              <w:rPr>
                <w:rFonts w:ascii="Times New Roman" w:eastAsia="Times New Roman" w:hAnsi="Times New Roman" w:cs="Times New Roman"/>
                <w:i/>
                <w:sz w:val="24"/>
                <w:szCs w:val="24"/>
                <w:u w:val="single"/>
                <w:lang w:val="ru-RU" w:eastAsia="ru-RU"/>
              </w:rPr>
              <w:t>освобождается от предоставления обеспечения исполнения контракта</w:t>
            </w:r>
            <w:r w:rsidR="0063173B" w:rsidRPr="00F20791">
              <w:rPr>
                <w:rFonts w:ascii="Times New Roman" w:eastAsia="Times New Roman" w:hAnsi="Times New Roman" w:cs="Times New Roman"/>
                <w:i/>
                <w:sz w:val="24"/>
                <w:szCs w:val="24"/>
                <w:lang w:val="ru-RU" w:eastAsia="ru-RU"/>
              </w:rPr>
              <w:t xml:space="preserve">,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xml:space="preserve">№ 44-ФЗ, </w:t>
            </w:r>
            <w:r w:rsidR="0063173B" w:rsidRPr="0046324A">
              <w:rPr>
                <w:rFonts w:ascii="Times New Roman" w:eastAsia="Times New Roman" w:hAnsi="Times New Roman" w:cs="Times New Roman"/>
                <w:i/>
                <w:sz w:val="24"/>
                <w:szCs w:val="24"/>
                <w:u w:val="single"/>
                <w:lang w:val="ru-RU" w:eastAsia="ru-RU"/>
              </w:rPr>
              <w:t>в случае предоставления таким участником закупки информации</w:t>
            </w:r>
            <w:r w:rsidR="0063173B" w:rsidRPr="0046324A">
              <w:rPr>
                <w:rFonts w:ascii="Times New Roman" w:eastAsia="Times New Roman" w:hAnsi="Times New Roman" w:cs="Times New Roman"/>
                <w:i/>
                <w:sz w:val="24"/>
                <w:szCs w:val="24"/>
                <w:lang w:val="ru-RU" w:eastAsia="ru-RU"/>
              </w:rPr>
              <w:t>, соде</w:t>
            </w:r>
            <w:r w:rsidR="0063173B" w:rsidRPr="0063173B">
              <w:rPr>
                <w:rFonts w:ascii="Times New Roman" w:eastAsia="Times New Roman" w:hAnsi="Times New Roman" w:cs="Times New Roman"/>
                <w:i/>
                <w:sz w:val="24"/>
                <w:szCs w:val="24"/>
                <w:lang w:val="ru-RU" w:eastAsia="ru-RU"/>
              </w:rPr>
              <w:t>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9C306A" w:rsidTr="00A961EB">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05BA" w:rsidRDefault="00455ACB"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w:t>
            </w:r>
            <w:r w:rsidR="000F05BA">
              <w:rPr>
                <w:rFonts w:ascii="Times New Roman" w:eastAsia="Times New Roman" w:hAnsi="Times New Roman" w:cs="Times New Roman"/>
                <w:sz w:val="24"/>
                <w:szCs w:val="24"/>
                <w:lang w:val="ru-RU" w:eastAsia="ru-RU"/>
              </w:rPr>
              <w:t xml:space="preserve">: </w:t>
            </w:r>
            <w:r w:rsidRPr="00455ACB">
              <w:rPr>
                <w:rFonts w:ascii="Times New Roman" w:eastAsia="Times New Roman" w:hAnsi="Times New Roman" w:cs="Times New Roman"/>
                <w:sz w:val="24"/>
                <w:szCs w:val="24"/>
                <w:lang w:val="ru-RU" w:eastAsia="ru-RU"/>
              </w:rPr>
              <w:t xml:space="preserve"> </w:t>
            </w:r>
          </w:p>
          <w:p w:rsidR="000F05BA" w:rsidRPr="009A4ACF"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9A4ACF">
              <w:rPr>
                <w:rFonts w:ascii="Times New Roman" w:eastAsia="Times New Roman" w:hAnsi="Times New Roman" w:cs="Times New Roman"/>
                <w:i/>
                <w:sz w:val="24"/>
                <w:szCs w:val="24"/>
                <w:lang w:val="ru-RU" w:eastAsia="ru-RU"/>
              </w:rPr>
              <w:t>Требование не установлено</w:t>
            </w:r>
            <w:r w:rsidR="009A4ACF">
              <w:rPr>
                <w:rFonts w:ascii="Times New Roman" w:eastAsia="Times New Roman" w:hAnsi="Times New Roman" w:cs="Times New Roman"/>
                <w:i/>
                <w:sz w:val="24"/>
                <w:szCs w:val="24"/>
                <w:lang w:val="ru-RU" w:eastAsia="ru-RU"/>
              </w:rPr>
              <w:t>.</w:t>
            </w: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F05BA" w:rsidRDefault="000F05BA"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r w:rsidR="00E57E6F" w:rsidRPr="009C306A" w:rsidTr="00270DE4">
        <w:trPr>
          <w:trHeight w:val="3605"/>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9A4ACF" w:rsidRDefault="00DD4E8D" w:rsidP="0058232C">
            <w:pPr>
              <w:autoSpaceDE w:val="0"/>
              <w:autoSpaceDN w:val="0"/>
              <w:adjustRightInd w:val="0"/>
              <w:spacing w:before="0" w:beforeAutospacing="0" w:after="0" w:afterAutospacing="0"/>
              <w:jc w:val="both"/>
              <w:rPr>
                <w:rFonts w:ascii="Times New Roman" w:hAnsi="Times New Roman" w:cs="Times New Roman"/>
                <w:sz w:val="24"/>
                <w:szCs w:val="24"/>
                <w:highlight w:val="cyan"/>
                <w:lang w:val="ru-RU"/>
              </w:rPr>
            </w:pPr>
            <w:r w:rsidRPr="0020042E">
              <w:rPr>
                <w:rFonts w:ascii="Times New Roman" w:hAnsi="Times New Roman" w:cs="Times New Roman"/>
                <w:sz w:val="24"/>
                <w:szCs w:val="24"/>
                <w:lang w:val="ru-RU"/>
              </w:rPr>
              <w:t xml:space="preserve">О применении </w:t>
            </w:r>
            <w:r w:rsidR="00185D76">
              <w:rPr>
                <w:rFonts w:ascii="Times New Roman" w:hAnsi="Times New Roman" w:cs="Times New Roman"/>
                <w:sz w:val="24"/>
                <w:szCs w:val="24"/>
                <w:lang w:val="ru-RU"/>
              </w:rPr>
              <w:t>п</w:t>
            </w:r>
            <w:r w:rsidRPr="0020042E">
              <w:rPr>
                <w:rFonts w:ascii="Times New Roman" w:hAnsi="Times New Roman" w:cs="Times New Roman"/>
                <w:sz w:val="24"/>
                <w:szCs w:val="24"/>
                <w:lang w:val="ru-RU"/>
              </w:rPr>
              <w:t>остановления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DB4E78">
              <w:rPr>
                <w:rFonts w:ascii="Times New Roman" w:hAnsi="Times New Roman" w:cs="Times New Roman"/>
                <w:sz w:val="24"/>
                <w:szCs w:val="24"/>
                <w:lang w:val="ru-RU"/>
              </w:rPr>
              <w:t xml:space="preserve"> (далее – Постановление № 617)</w:t>
            </w:r>
            <w:r w:rsidR="0058232C" w:rsidRPr="0020042E">
              <w:rPr>
                <w:rFonts w:ascii="Times New Roman" w:hAnsi="Times New Roman" w:cs="Times New Roman"/>
                <w:sz w:val="24"/>
                <w:szCs w:val="24"/>
                <w:lang w:val="ru-RU"/>
              </w:rPr>
              <w:t xml:space="preserve"> при </w:t>
            </w:r>
            <w:r w:rsidR="002E7DE4">
              <w:rPr>
                <w:rFonts w:ascii="Times New Roman" w:hAnsi="Times New Roman" w:cs="Times New Roman"/>
                <w:sz w:val="24"/>
                <w:szCs w:val="24"/>
                <w:lang w:val="ru-RU"/>
              </w:rPr>
              <w:t xml:space="preserve">заключении и </w:t>
            </w:r>
            <w:r w:rsidR="0058232C" w:rsidRPr="0020042E">
              <w:rPr>
                <w:rFonts w:ascii="Times New Roman" w:hAnsi="Times New Roman" w:cs="Times New Roman"/>
                <w:sz w:val="24"/>
                <w:szCs w:val="24"/>
                <w:lang w:val="ru-RU"/>
              </w:rPr>
              <w:t>исполнении 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4E78" w:rsidRPr="00DB4E78" w:rsidRDefault="009C306A" w:rsidP="00270DE4">
            <w:pPr>
              <w:pStyle w:val="formattext"/>
              <w:shd w:val="clear" w:color="auto" w:fill="FFFFFF"/>
              <w:spacing w:before="0" w:beforeAutospacing="0" w:after="0" w:afterAutospacing="0"/>
              <w:jc w:val="both"/>
              <w:textAlignment w:val="baseline"/>
            </w:pPr>
            <w:r>
              <w:t>Не установлено</w:t>
            </w:r>
          </w:p>
        </w:tc>
      </w:tr>
      <w:tr w:rsidR="007664D2" w:rsidRPr="009C306A" w:rsidTr="001E2F86">
        <w:trPr>
          <w:trHeight w:val="1472"/>
        </w:trPr>
        <w:tc>
          <w:tcPr>
            <w:tcW w:w="568" w:type="dxa"/>
            <w:tcBorders>
              <w:top w:val="single" w:sz="6" w:space="0" w:color="000000"/>
              <w:left w:val="single" w:sz="6" w:space="0" w:color="000000"/>
              <w:bottom w:val="single" w:sz="6" w:space="0" w:color="000000"/>
              <w:right w:val="single" w:sz="6" w:space="0" w:color="000000"/>
            </w:tcBorders>
          </w:tcPr>
          <w:p w:rsidR="007664D2" w:rsidRPr="00C7479C" w:rsidRDefault="007664D2" w:rsidP="007664D2">
            <w:pPr>
              <w:pStyle w:val="af6"/>
              <w:numPr>
                <w:ilvl w:val="0"/>
                <w:numId w:val="24"/>
              </w:numPr>
              <w:tabs>
                <w:tab w:val="left" w:pos="284"/>
              </w:tabs>
              <w:autoSpaceDE w:val="0"/>
              <w:autoSpaceDN w:val="0"/>
              <w:adjustRightInd w:val="0"/>
              <w:spacing w:after="0"/>
              <w:ind w:hanging="644"/>
              <w:jc w:val="center"/>
            </w:pP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7664D2" w:rsidP="007664D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D238E1">
              <w:rPr>
                <w:rFonts w:ascii="Times New Roman" w:hAnsi="Times New Roman" w:cs="Times New Roman"/>
                <w:bCs/>
                <w:sz w:val="24"/>
                <w:szCs w:val="24"/>
                <w:lang w:val="ru-RU"/>
              </w:rPr>
              <w:t xml:space="preserve">О применении Приказа Минфина России от 04.06.2018 № 126н </w:t>
            </w:r>
            <w:r>
              <w:rPr>
                <w:rFonts w:ascii="Times New Roman" w:hAnsi="Times New Roman" w:cs="Times New Roman"/>
                <w:bCs/>
                <w:sz w:val="24"/>
                <w:szCs w:val="24"/>
                <w:lang w:val="ru-RU"/>
              </w:rPr>
              <w:br/>
            </w:r>
            <w:r w:rsidRPr="00D238E1">
              <w:rPr>
                <w:rFonts w:ascii="Times New Roman" w:hAnsi="Times New Roman" w:cs="Times New Roman"/>
                <w:bCs/>
                <w:sz w:val="24"/>
                <w:szCs w:val="24"/>
                <w:lang w:val="ru-RU"/>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bCs/>
                <w:sz w:val="24"/>
                <w:szCs w:val="24"/>
                <w:lang w:val="ru-RU"/>
              </w:rPr>
              <w:t xml:space="preserve"> (далее –Приказ № 126н) </w:t>
            </w:r>
            <w:r w:rsidRPr="00D238E1">
              <w:rPr>
                <w:rFonts w:ascii="Times New Roman" w:hAnsi="Times New Roman" w:cs="Times New Roman"/>
                <w:bCs/>
                <w:sz w:val="24"/>
                <w:szCs w:val="24"/>
                <w:lang w:val="ru-RU"/>
              </w:rPr>
              <w:t xml:space="preserve">при заключении </w:t>
            </w:r>
            <w:r>
              <w:rPr>
                <w:rFonts w:ascii="Times New Roman" w:hAnsi="Times New Roman" w:cs="Times New Roman"/>
                <w:bCs/>
                <w:sz w:val="24"/>
                <w:szCs w:val="24"/>
                <w:lang w:val="ru-RU"/>
              </w:rPr>
              <w:t xml:space="preserve">и исполнении </w:t>
            </w:r>
            <w:r w:rsidRPr="00D238E1">
              <w:rPr>
                <w:rFonts w:ascii="Times New Roman" w:hAnsi="Times New Roman" w:cs="Times New Roman"/>
                <w:bCs/>
                <w:sz w:val="24"/>
                <w:szCs w:val="24"/>
                <w:lang w:val="ru-RU"/>
              </w:rPr>
              <w:t>Контракта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64D2" w:rsidRPr="00923FCF" w:rsidRDefault="009C306A" w:rsidP="001E2F86">
            <w:pPr>
              <w:pStyle w:val="formattext"/>
              <w:spacing w:before="0" w:beforeAutospacing="0" w:after="0" w:afterAutospacing="0"/>
              <w:jc w:val="both"/>
            </w:pPr>
            <w:r>
              <w:t>Не установлено</w:t>
            </w:r>
          </w:p>
        </w:tc>
      </w:tr>
    </w:tbl>
    <w:p w:rsidR="00F93993" w:rsidRDefault="00F93993" w:rsidP="002B0123">
      <w:pPr>
        <w:pStyle w:val="formattext"/>
        <w:shd w:val="clear" w:color="auto" w:fill="FFFFFF"/>
        <w:spacing w:before="0" w:beforeAutospacing="0" w:after="0" w:afterAutospacing="0"/>
        <w:jc w:val="both"/>
        <w:textAlignment w:val="baseline"/>
      </w:pPr>
    </w:p>
    <w:sectPr w:rsidR="00F93993" w:rsidSect="00AD7619">
      <w:footerReference w:type="even" r:id="rId8"/>
      <w:footerReference w:type="default" r:id="rId9"/>
      <w:headerReference w:type="first" r:id="rId10"/>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65" w:rsidRDefault="00B55065" w:rsidP="00EE65A5">
      <w:pPr>
        <w:spacing w:before="0" w:after="0"/>
      </w:pPr>
      <w:r>
        <w:separator/>
      </w:r>
    </w:p>
  </w:endnote>
  <w:endnote w:type="continuationSeparator" w:id="0">
    <w:p w:rsidR="00B55065" w:rsidRDefault="00B5506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D2" w:rsidRDefault="007664D2" w:rsidP="007664D2">
    <w:pPr>
      <w:pStyle w:val="ac"/>
      <w:tabs>
        <w:tab w:val="center" w:pos="5014"/>
        <w:tab w:val="left" w:pos="5892"/>
      </w:tabs>
    </w:pPr>
    <w:r>
      <w:tab/>
    </w:r>
    <w:r>
      <w:tab/>
    </w:r>
    <w:sdt>
      <w:sdtPr>
        <w:id w:val="-1319574579"/>
        <w:docPartObj>
          <w:docPartGallery w:val="Page Numbers (Bottom of Page)"/>
          <w:docPartUnique/>
        </w:docPartObj>
      </w:sdtPr>
      <w:sdtEndPr/>
      <w:sdtContent>
        <w:r>
          <w:fldChar w:fldCharType="begin"/>
        </w:r>
        <w:r>
          <w:instrText>PAGE   \* MERGEFORMAT</w:instrText>
        </w:r>
        <w:r>
          <w:fldChar w:fldCharType="separate"/>
        </w:r>
        <w:r w:rsidR="009C306A" w:rsidRPr="009C306A">
          <w:rPr>
            <w:noProof/>
            <w:lang w:val="ru-RU"/>
          </w:rPr>
          <w:t>6</w:t>
        </w:r>
        <w:r>
          <w:fldChar w:fldCharType="end"/>
        </w:r>
      </w:sdtContent>
    </w:sdt>
    <w:r>
      <w:tab/>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65" w:rsidRDefault="00B55065" w:rsidP="00EE65A5">
      <w:pPr>
        <w:spacing w:before="0" w:after="0"/>
      </w:pPr>
      <w:r>
        <w:separator/>
      </w:r>
    </w:p>
  </w:footnote>
  <w:footnote w:type="continuationSeparator" w:id="0">
    <w:p w:rsidR="00B55065" w:rsidRDefault="00B5506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357A4"/>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7761"/>
    <w:rsid w:val="000E5535"/>
    <w:rsid w:val="000F05BA"/>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85D76"/>
    <w:rsid w:val="00191674"/>
    <w:rsid w:val="00194F1D"/>
    <w:rsid w:val="00196575"/>
    <w:rsid w:val="001A7091"/>
    <w:rsid w:val="001A7C37"/>
    <w:rsid w:val="001B226E"/>
    <w:rsid w:val="001B2C2A"/>
    <w:rsid w:val="001B4378"/>
    <w:rsid w:val="001D0F77"/>
    <w:rsid w:val="001D1051"/>
    <w:rsid w:val="001D1F09"/>
    <w:rsid w:val="001D4DAC"/>
    <w:rsid w:val="001D7BF5"/>
    <w:rsid w:val="001E2F86"/>
    <w:rsid w:val="001E5459"/>
    <w:rsid w:val="001F13AB"/>
    <w:rsid w:val="001F21E4"/>
    <w:rsid w:val="001F38E2"/>
    <w:rsid w:val="0020042E"/>
    <w:rsid w:val="00200841"/>
    <w:rsid w:val="00202E08"/>
    <w:rsid w:val="00207639"/>
    <w:rsid w:val="00221B8A"/>
    <w:rsid w:val="0022427A"/>
    <w:rsid w:val="0023216C"/>
    <w:rsid w:val="00232362"/>
    <w:rsid w:val="00234AE4"/>
    <w:rsid w:val="002377F7"/>
    <w:rsid w:val="002406B9"/>
    <w:rsid w:val="00260991"/>
    <w:rsid w:val="00263425"/>
    <w:rsid w:val="00270DE4"/>
    <w:rsid w:val="0027273C"/>
    <w:rsid w:val="002777CF"/>
    <w:rsid w:val="00294921"/>
    <w:rsid w:val="002A002D"/>
    <w:rsid w:val="002A19DE"/>
    <w:rsid w:val="002A27C4"/>
    <w:rsid w:val="002B0123"/>
    <w:rsid w:val="002B3CA9"/>
    <w:rsid w:val="002B4D8A"/>
    <w:rsid w:val="002B56EE"/>
    <w:rsid w:val="002B7478"/>
    <w:rsid w:val="002C71A2"/>
    <w:rsid w:val="002C71C9"/>
    <w:rsid w:val="002C7227"/>
    <w:rsid w:val="002D33B1"/>
    <w:rsid w:val="002D3591"/>
    <w:rsid w:val="002D5DE5"/>
    <w:rsid w:val="002E43AF"/>
    <w:rsid w:val="002E7DE4"/>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107A"/>
    <w:rsid w:val="003F229F"/>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324A"/>
    <w:rsid w:val="0046606E"/>
    <w:rsid w:val="004741E7"/>
    <w:rsid w:val="004767D9"/>
    <w:rsid w:val="004779D8"/>
    <w:rsid w:val="00481DFA"/>
    <w:rsid w:val="004831D2"/>
    <w:rsid w:val="0049531A"/>
    <w:rsid w:val="00497BEE"/>
    <w:rsid w:val="004A12AE"/>
    <w:rsid w:val="004A64B5"/>
    <w:rsid w:val="004A69E4"/>
    <w:rsid w:val="004A7E90"/>
    <w:rsid w:val="004B0C1B"/>
    <w:rsid w:val="004C7844"/>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232C"/>
    <w:rsid w:val="00583D6B"/>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42110"/>
    <w:rsid w:val="006446DD"/>
    <w:rsid w:val="006458E0"/>
    <w:rsid w:val="00653AF6"/>
    <w:rsid w:val="006543A4"/>
    <w:rsid w:val="00667076"/>
    <w:rsid w:val="00675329"/>
    <w:rsid w:val="006859CC"/>
    <w:rsid w:val="0069528D"/>
    <w:rsid w:val="006B6EDE"/>
    <w:rsid w:val="006C2CD0"/>
    <w:rsid w:val="006C320F"/>
    <w:rsid w:val="006C5AB3"/>
    <w:rsid w:val="006C72CF"/>
    <w:rsid w:val="006D355A"/>
    <w:rsid w:val="006D6FDF"/>
    <w:rsid w:val="006E2637"/>
    <w:rsid w:val="006E5463"/>
    <w:rsid w:val="006F5A45"/>
    <w:rsid w:val="006F666B"/>
    <w:rsid w:val="007013FF"/>
    <w:rsid w:val="00705B0E"/>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64D2"/>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0940"/>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0BC6"/>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4ACF"/>
    <w:rsid w:val="009B551B"/>
    <w:rsid w:val="009B5EBE"/>
    <w:rsid w:val="009C1A62"/>
    <w:rsid w:val="009C23E1"/>
    <w:rsid w:val="009C2A1F"/>
    <w:rsid w:val="009C2D1C"/>
    <w:rsid w:val="009C306A"/>
    <w:rsid w:val="009C455D"/>
    <w:rsid w:val="009D423C"/>
    <w:rsid w:val="009E15B7"/>
    <w:rsid w:val="009F0E12"/>
    <w:rsid w:val="009F1E68"/>
    <w:rsid w:val="009F4520"/>
    <w:rsid w:val="009F7A60"/>
    <w:rsid w:val="00A01FEF"/>
    <w:rsid w:val="00A0543F"/>
    <w:rsid w:val="00A141FD"/>
    <w:rsid w:val="00A2032D"/>
    <w:rsid w:val="00A267C8"/>
    <w:rsid w:val="00A403DB"/>
    <w:rsid w:val="00A44C62"/>
    <w:rsid w:val="00A57C69"/>
    <w:rsid w:val="00A632E6"/>
    <w:rsid w:val="00A646E7"/>
    <w:rsid w:val="00A65AB7"/>
    <w:rsid w:val="00A66C5E"/>
    <w:rsid w:val="00A708E5"/>
    <w:rsid w:val="00A7375B"/>
    <w:rsid w:val="00A76185"/>
    <w:rsid w:val="00A82E9D"/>
    <w:rsid w:val="00A86264"/>
    <w:rsid w:val="00A927F6"/>
    <w:rsid w:val="00A961EB"/>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26D98"/>
    <w:rsid w:val="00B368AF"/>
    <w:rsid w:val="00B369E9"/>
    <w:rsid w:val="00B374A1"/>
    <w:rsid w:val="00B5141E"/>
    <w:rsid w:val="00B51A52"/>
    <w:rsid w:val="00B51E4D"/>
    <w:rsid w:val="00B52A5E"/>
    <w:rsid w:val="00B52BD0"/>
    <w:rsid w:val="00B5371A"/>
    <w:rsid w:val="00B5467D"/>
    <w:rsid w:val="00B55065"/>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1B56"/>
    <w:rsid w:val="00BF2D6B"/>
    <w:rsid w:val="00BF5C31"/>
    <w:rsid w:val="00C05B02"/>
    <w:rsid w:val="00C060B9"/>
    <w:rsid w:val="00C11EF7"/>
    <w:rsid w:val="00C12C86"/>
    <w:rsid w:val="00C1798B"/>
    <w:rsid w:val="00C2112C"/>
    <w:rsid w:val="00C216FD"/>
    <w:rsid w:val="00C345B7"/>
    <w:rsid w:val="00C402DB"/>
    <w:rsid w:val="00C535A6"/>
    <w:rsid w:val="00C71ABD"/>
    <w:rsid w:val="00C73B73"/>
    <w:rsid w:val="00C7479C"/>
    <w:rsid w:val="00C747CC"/>
    <w:rsid w:val="00C77284"/>
    <w:rsid w:val="00C80819"/>
    <w:rsid w:val="00C847D6"/>
    <w:rsid w:val="00C925DF"/>
    <w:rsid w:val="00C954BE"/>
    <w:rsid w:val="00C9632D"/>
    <w:rsid w:val="00CA29B4"/>
    <w:rsid w:val="00CA3243"/>
    <w:rsid w:val="00CC0776"/>
    <w:rsid w:val="00CC335C"/>
    <w:rsid w:val="00CC6453"/>
    <w:rsid w:val="00CD2D96"/>
    <w:rsid w:val="00CD7835"/>
    <w:rsid w:val="00CD7E24"/>
    <w:rsid w:val="00CF3F23"/>
    <w:rsid w:val="00CF5387"/>
    <w:rsid w:val="00CF642D"/>
    <w:rsid w:val="00D016F2"/>
    <w:rsid w:val="00D03FA2"/>
    <w:rsid w:val="00D07A0D"/>
    <w:rsid w:val="00D10EDA"/>
    <w:rsid w:val="00D12308"/>
    <w:rsid w:val="00D218D3"/>
    <w:rsid w:val="00D238E1"/>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4E78"/>
    <w:rsid w:val="00DC11C0"/>
    <w:rsid w:val="00DD4E8D"/>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55D5"/>
    <w:rsid w:val="00E97A1D"/>
    <w:rsid w:val="00EC0E84"/>
    <w:rsid w:val="00EC57A7"/>
    <w:rsid w:val="00EC7CD7"/>
    <w:rsid w:val="00ED7B3E"/>
    <w:rsid w:val="00EE65A5"/>
    <w:rsid w:val="00EF4C3F"/>
    <w:rsid w:val="00F01090"/>
    <w:rsid w:val="00F014BE"/>
    <w:rsid w:val="00F01E19"/>
    <w:rsid w:val="00F028DF"/>
    <w:rsid w:val="00F072D7"/>
    <w:rsid w:val="00F122BC"/>
    <w:rsid w:val="00F20791"/>
    <w:rsid w:val="00F23C3D"/>
    <w:rsid w:val="00F24174"/>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A36E5"/>
    <w:rsid w:val="00FA77B9"/>
    <w:rsid w:val="00FB0E16"/>
    <w:rsid w:val="00FB2CC8"/>
    <w:rsid w:val="00FB3D31"/>
    <w:rsid w:val="00FC2431"/>
    <w:rsid w:val="00FC3EBC"/>
    <w:rsid w:val="00FD0063"/>
    <w:rsid w:val="00FD0524"/>
    <w:rsid w:val="00FD251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FADDEF9-F63A-4D2F-9203-D4EE9E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C002-A34A-44CD-9358-199C637C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8</cp:revision>
  <cp:lastPrinted>2022-10-07T09:55:00Z</cp:lastPrinted>
  <dcterms:created xsi:type="dcterms:W3CDTF">2022-08-09T09:51:00Z</dcterms:created>
  <dcterms:modified xsi:type="dcterms:W3CDTF">2022-10-07T10:03:00Z</dcterms:modified>
</cp:coreProperties>
</file>