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5C66F1">
      <w:pPr>
        <w:spacing w:before="0" w:beforeAutospacing="0" w:after="0" w:afterAutospacing="0"/>
        <w:ind w:firstLine="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5C66F1">
      <w:pPr>
        <w:pStyle w:val="ConsPlusNormal"/>
        <w:ind w:firstLine="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5C66F1">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5C66F1" w:rsidRDefault="004A768E" w:rsidP="005C66F1">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5C66F1">
        <w:rPr>
          <w:rFonts w:asciiTheme="minorHAnsi" w:hAnsiTheme="minorHAnsi" w:cstheme="minorHAnsi"/>
          <w:sz w:val="24"/>
          <w:szCs w:val="24"/>
        </w:rPr>
        <w:t xml:space="preserve">работ по текущему ремонту </w:t>
      </w:r>
    </w:p>
    <w:p w:rsidR="005C66F1" w:rsidRDefault="005C66F1" w:rsidP="005C66F1">
      <w:pPr>
        <w:pStyle w:val="ConsPlusNormal"/>
        <w:ind w:firstLine="5387"/>
        <w:rPr>
          <w:rFonts w:asciiTheme="minorHAnsi" w:hAnsiTheme="minorHAnsi" w:cstheme="minorHAnsi"/>
          <w:sz w:val="24"/>
          <w:szCs w:val="24"/>
        </w:rPr>
      </w:pPr>
      <w:r>
        <w:rPr>
          <w:rFonts w:asciiTheme="minorHAnsi" w:hAnsiTheme="minorHAnsi" w:cstheme="minorHAnsi"/>
          <w:sz w:val="24"/>
          <w:szCs w:val="24"/>
        </w:rPr>
        <w:t xml:space="preserve">гранитной облицовки пола ИПУ РАН </w:t>
      </w:r>
    </w:p>
    <w:p w:rsidR="00FA2658" w:rsidRPr="004A768E" w:rsidRDefault="005C66F1" w:rsidP="005C66F1">
      <w:pPr>
        <w:pStyle w:val="ConsPlusNormal"/>
        <w:ind w:firstLine="5387"/>
        <w:rPr>
          <w:rFonts w:asciiTheme="minorHAnsi" w:hAnsiTheme="minorHAnsi" w:cstheme="minorHAnsi"/>
          <w:sz w:val="24"/>
          <w:szCs w:val="24"/>
        </w:rPr>
      </w:pPr>
      <w:r>
        <w:rPr>
          <w:rFonts w:asciiTheme="minorHAnsi" w:hAnsiTheme="minorHAnsi" w:cstheme="minorHAnsi"/>
          <w:sz w:val="24"/>
          <w:szCs w:val="24"/>
        </w:rPr>
        <w:t>(главный вход, строение 2)</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5C66F1" w:rsidRDefault="005C66F1"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5C66F1">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5C66F1" w:rsidRDefault="00055FAD" w:rsidP="005C66F1">
      <w:pPr>
        <w:spacing w:before="0" w:beforeAutospacing="0" w:after="0" w:afterAutospacing="0"/>
        <w:jc w:val="center"/>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5C66F1" w:rsidRPr="005C66F1">
        <w:rPr>
          <w:rFonts w:hAnsi="Times New Roman" w:cs="Times New Roman"/>
          <w:b/>
          <w:bCs/>
          <w:color w:val="000000"/>
          <w:sz w:val="24"/>
          <w:szCs w:val="24"/>
          <w:lang w:val="ru-RU"/>
        </w:rPr>
        <w:t>работ по текущему ремонту</w:t>
      </w:r>
      <w:r w:rsidR="005C66F1">
        <w:rPr>
          <w:rFonts w:hAnsi="Times New Roman" w:cs="Times New Roman"/>
          <w:b/>
          <w:bCs/>
          <w:color w:val="000000"/>
          <w:sz w:val="24"/>
          <w:szCs w:val="24"/>
          <w:lang w:val="ru-RU"/>
        </w:rPr>
        <w:t xml:space="preserve"> </w:t>
      </w:r>
      <w:r w:rsidR="005C66F1" w:rsidRPr="005C66F1">
        <w:rPr>
          <w:rFonts w:hAnsi="Times New Roman" w:cs="Times New Roman"/>
          <w:b/>
          <w:bCs/>
          <w:color w:val="000000"/>
          <w:sz w:val="24"/>
          <w:szCs w:val="24"/>
          <w:lang w:val="ru-RU"/>
        </w:rPr>
        <w:t>гранитной облицовки пола ИПУ РАН</w:t>
      </w:r>
      <w:r w:rsidR="005C66F1">
        <w:rPr>
          <w:rFonts w:hAnsi="Times New Roman" w:cs="Times New Roman"/>
          <w:b/>
          <w:bCs/>
          <w:color w:val="000000"/>
          <w:sz w:val="24"/>
          <w:szCs w:val="24"/>
          <w:lang w:val="ru-RU"/>
        </w:rPr>
        <w:t xml:space="preserve"> </w:t>
      </w:r>
    </w:p>
    <w:p w:rsidR="00055FAD" w:rsidRPr="00055FAD" w:rsidRDefault="005C66F1" w:rsidP="005C66F1">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Pr="005C66F1">
        <w:rPr>
          <w:rFonts w:hAnsi="Times New Roman" w:cs="Times New Roman"/>
          <w:b/>
          <w:bCs/>
          <w:color w:val="000000"/>
          <w:sz w:val="24"/>
          <w:szCs w:val="24"/>
          <w:lang w:val="ru-RU"/>
        </w:rPr>
        <w:t>(главный вход, строение 2)</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D4"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321FB9" w:rsidRDefault="005C66F1" w:rsidP="00321FB9">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22</w:t>
            </w:r>
            <w:r w:rsidR="005329A8">
              <w:rPr>
                <w:rFonts w:hAnsi="Times New Roman" w:cs="Times New Roman"/>
                <w:b/>
                <w:color w:val="000000"/>
                <w:sz w:val="24"/>
                <w:szCs w:val="24"/>
                <w:lang w:val="ru-RU"/>
              </w:rPr>
              <w:t xml:space="preserve"> </w:t>
            </w:r>
            <w:r>
              <w:rPr>
                <w:rFonts w:hAnsi="Times New Roman" w:cs="Times New Roman"/>
                <w:b/>
                <w:color w:val="000000"/>
                <w:sz w:val="24"/>
                <w:szCs w:val="24"/>
                <w:lang w:val="ru-RU"/>
              </w:rPr>
              <w:t>992</w:t>
            </w:r>
            <w:r w:rsidR="00E71FD4" w:rsidRPr="00E71FD4">
              <w:rPr>
                <w:rFonts w:hAnsi="Times New Roman" w:cs="Times New Roman"/>
                <w:b/>
                <w:color w:val="000000"/>
                <w:sz w:val="24"/>
                <w:szCs w:val="24"/>
                <w:lang w:val="ru-RU"/>
              </w:rPr>
              <w:t xml:space="preserve"> </w:t>
            </w:r>
            <w:r w:rsidR="00E71FD4" w:rsidRPr="00E71FD4">
              <w:rPr>
                <w:rFonts w:hAnsi="Times New Roman" w:cs="Times New Roman"/>
                <w:color w:val="000000"/>
                <w:sz w:val="24"/>
                <w:szCs w:val="24"/>
                <w:lang w:val="ru-RU"/>
              </w:rPr>
              <w:t>(</w:t>
            </w:r>
            <w:r w:rsidR="005329A8">
              <w:rPr>
                <w:rFonts w:hAnsi="Times New Roman" w:cs="Times New Roman"/>
                <w:color w:val="000000"/>
                <w:sz w:val="24"/>
                <w:szCs w:val="24"/>
                <w:lang w:val="ru-RU"/>
              </w:rPr>
              <w:t xml:space="preserve">Двадцать </w:t>
            </w:r>
            <w:r>
              <w:rPr>
                <w:rFonts w:hAnsi="Times New Roman" w:cs="Times New Roman"/>
                <w:color w:val="000000"/>
                <w:sz w:val="24"/>
                <w:szCs w:val="24"/>
                <w:lang w:val="ru-RU"/>
              </w:rPr>
              <w:t>две тысячи девятьсот девяносто два)</w:t>
            </w:r>
            <w:r w:rsidR="00E71FD4" w:rsidRPr="00E71FD4">
              <w:rPr>
                <w:rFonts w:hAnsi="Times New Roman" w:cs="Times New Roman"/>
                <w:b/>
                <w:color w:val="000000"/>
                <w:sz w:val="24"/>
                <w:szCs w:val="24"/>
                <w:lang w:val="ru-RU"/>
              </w:rPr>
              <w:t xml:space="preserve"> рубл</w:t>
            </w:r>
            <w:r w:rsidR="00FA2658">
              <w:rPr>
                <w:rFonts w:hAnsi="Times New Roman" w:cs="Times New Roman"/>
                <w:b/>
                <w:color w:val="000000"/>
                <w:sz w:val="24"/>
                <w:szCs w:val="24"/>
                <w:lang w:val="ru-RU"/>
              </w:rPr>
              <w:t>я</w:t>
            </w:r>
            <w:r w:rsidR="00E71FD4"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40</w:t>
            </w:r>
            <w:r w:rsidR="00E71FD4"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копеек</w:t>
            </w:r>
            <w:r w:rsidR="00321FB9" w:rsidRPr="00321FB9">
              <w:rPr>
                <w:rFonts w:hAnsi="Times New Roman" w:cs="Times New Roman"/>
                <w:color w:val="000000"/>
                <w:sz w:val="24"/>
                <w:szCs w:val="24"/>
                <w:lang w:val="ru-RU"/>
              </w:rPr>
              <w:t>. НДС не облагается.</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321FB9">
              <w:rPr>
                <w:rFonts w:hAnsi="Times New Roman" w:cs="Times New Roman"/>
                <w:color w:val="000000"/>
                <w:sz w:val="24"/>
                <w:szCs w:val="24"/>
                <w:lang w:val="ru-RU"/>
              </w:rPr>
              <w:lastRenderedPageBreak/>
              <w:t>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sidR="004C3179">
              <w:rPr>
                <w:rFonts w:hAnsi="Times New Roman" w:cs="Times New Roman"/>
                <w:color w:val="000000"/>
                <w:sz w:val="24"/>
                <w:szCs w:val="24"/>
                <w:lang w:val="ru-RU"/>
              </w:rPr>
              <w:t xml:space="preserve"> 2369 «</w:t>
            </w:r>
            <w:r w:rsidR="004C3179"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sidR="004C3179">
              <w:rPr>
                <w:rFonts w:hAnsi="Times New Roman" w:cs="Times New Roman"/>
                <w:color w:val="000000"/>
                <w:sz w:val="24"/>
                <w:szCs w:val="24"/>
                <w:lang w:val="ru-RU"/>
              </w:rPr>
              <w:t>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4C317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sidR="004C3179">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 "ВЭБ.РФ";</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321FB9" w:rsidRDefault="00321FB9" w:rsidP="00321FB9">
            <w:pPr>
              <w:spacing w:before="0" w:beforeAutospacing="0" w:after="0" w:afterAutospacing="0"/>
              <w:jc w:val="both"/>
              <w:rPr>
                <w:rFonts w:hAnsi="Times New Roman" w:cs="Times New Roman"/>
                <w:color w:val="000000"/>
                <w:sz w:val="24"/>
                <w:szCs w:val="24"/>
                <w:lang w:val="ru-RU"/>
              </w:rPr>
            </w:pPr>
          </w:p>
          <w:p w:rsidR="00713595" w:rsidRPr="00B5467D" w:rsidRDefault="00713595" w:rsidP="007135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sidR="00FC351A">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13595" w:rsidRPr="0065679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13595" w:rsidRPr="00173806"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5C66F1" w:rsidRDefault="00FC351A" w:rsidP="005C66F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C66F1" w:rsidRDefault="005C66F1" w:rsidP="005C66F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p>
          <w:p w:rsidR="005C66F1" w:rsidRPr="005C66F1" w:rsidRDefault="005C66F1" w:rsidP="005C66F1">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bookmarkStart w:id="0" w:name="_GoBack"/>
            <w:bookmarkEnd w:id="0"/>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5C66F1" w:rsidRPr="00DD42FD" w:rsidRDefault="005C66F1" w:rsidP="005C66F1">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5C66F1" w:rsidRPr="00DD42FD" w:rsidRDefault="005C66F1" w:rsidP="005C66F1">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5C66F1" w:rsidRPr="00DD42FD" w:rsidRDefault="005C66F1" w:rsidP="005C66F1">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FC351A" w:rsidRDefault="005C66F1" w:rsidP="005C66F1">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5C66F1" w:rsidRPr="00FC351A" w:rsidRDefault="005C66F1" w:rsidP="005C66F1">
            <w:pPr>
              <w:spacing w:before="0" w:beforeAutospacing="0" w:after="0" w:afterAutospacing="0"/>
              <w:jc w:val="both"/>
              <w:rPr>
                <w:rFonts w:ascii="Times New Roman" w:eastAsia="Calibri" w:hAnsi="Times New Roman" w:cs="Times New Roman"/>
                <w:sz w:val="24"/>
                <w:szCs w:val="24"/>
                <w:lang w:val="ru-RU"/>
              </w:rPr>
            </w:pPr>
          </w:p>
          <w:p w:rsidR="00321FB9" w:rsidRPr="00321FB9" w:rsidRDefault="00321FB9" w:rsidP="00FC351A">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от 05.04.2013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sidR="004C3179">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5C66F1"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5C66F1">
              <w:rPr>
                <w:rFonts w:ascii="Times New Roman" w:eastAsia="Times New Roman" w:hAnsi="Times New Roman" w:cs="Times New Roman"/>
                <w:b/>
                <w:sz w:val="24"/>
                <w:szCs w:val="24"/>
                <w:lang w:val="ru-RU" w:eastAsia="ru-RU"/>
              </w:rPr>
              <w:t>229 924</w:t>
            </w:r>
            <w:r w:rsidR="00D36967" w:rsidRPr="00D36967">
              <w:rPr>
                <w:rFonts w:ascii="Times New Roman" w:eastAsia="Times New Roman" w:hAnsi="Times New Roman" w:cs="Times New Roman"/>
                <w:sz w:val="24"/>
                <w:szCs w:val="24"/>
                <w:lang w:val="ru-RU" w:eastAsia="ru-RU"/>
              </w:rPr>
              <w:t xml:space="preserve"> (</w:t>
            </w:r>
            <w:r w:rsidR="005329A8">
              <w:rPr>
                <w:rFonts w:ascii="Times New Roman" w:eastAsia="Times New Roman" w:hAnsi="Times New Roman" w:cs="Times New Roman"/>
                <w:sz w:val="24"/>
                <w:szCs w:val="24"/>
                <w:lang w:val="ru-RU" w:eastAsia="ru-RU"/>
              </w:rPr>
              <w:t xml:space="preserve">Двести </w:t>
            </w:r>
            <w:r w:rsidR="005C66F1">
              <w:rPr>
                <w:rFonts w:ascii="Times New Roman" w:eastAsia="Times New Roman" w:hAnsi="Times New Roman" w:cs="Times New Roman"/>
                <w:sz w:val="24"/>
                <w:szCs w:val="24"/>
                <w:lang w:val="ru-RU" w:eastAsia="ru-RU"/>
              </w:rPr>
              <w:t>двадцать девять тысяч девятьсот двадцать четыре</w:t>
            </w:r>
            <w:r w:rsidR="00FA2658">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рубл</w:t>
            </w:r>
            <w:r w:rsidR="005329A8">
              <w:rPr>
                <w:rFonts w:ascii="Times New Roman" w:eastAsia="Times New Roman" w:hAnsi="Times New Roman" w:cs="Times New Roman"/>
                <w:sz w:val="24"/>
                <w:szCs w:val="24"/>
                <w:lang w:val="ru-RU" w:eastAsia="ru-RU"/>
              </w:rPr>
              <w:t>я</w:t>
            </w:r>
            <w:r w:rsidR="00D36967" w:rsidRPr="00D36967">
              <w:rPr>
                <w:rFonts w:ascii="Times New Roman" w:eastAsia="Times New Roman" w:hAnsi="Times New Roman" w:cs="Times New Roman"/>
                <w:sz w:val="24"/>
                <w:szCs w:val="24"/>
                <w:lang w:val="ru-RU" w:eastAsia="ru-RU"/>
              </w:rPr>
              <w:t xml:space="preserve"> </w:t>
            </w:r>
            <w:r w:rsidR="005C66F1">
              <w:rPr>
                <w:rFonts w:ascii="Times New Roman" w:eastAsia="Times New Roman" w:hAnsi="Times New Roman" w:cs="Times New Roman"/>
                <w:b/>
                <w:sz w:val="24"/>
                <w:szCs w:val="24"/>
                <w:lang w:val="ru-RU" w:eastAsia="ru-RU"/>
              </w:rPr>
              <w:t>02</w:t>
            </w:r>
            <w:r w:rsidR="00D36967" w:rsidRPr="00D36967">
              <w:rPr>
                <w:rFonts w:ascii="Times New Roman" w:eastAsia="Times New Roman" w:hAnsi="Times New Roman" w:cs="Times New Roman"/>
                <w:sz w:val="24"/>
                <w:szCs w:val="24"/>
                <w:lang w:val="ru-RU" w:eastAsia="ru-RU"/>
              </w:rPr>
              <w:t xml:space="preserve"> копе</w:t>
            </w:r>
            <w:r w:rsidR="005C66F1">
              <w:rPr>
                <w:rFonts w:ascii="Times New Roman" w:eastAsia="Times New Roman" w:hAnsi="Times New Roman" w:cs="Times New Roman"/>
                <w:sz w:val="24"/>
                <w:szCs w:val="24"/>
                <w:lang w:val="ru-RU" w:eastAsia="ru-RU"/>
              </w:rPr>
              <w:t>йки</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Федерального закона от 05.04.2013 №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5C66F1"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5C66F1">
              <w:rPr>
                <w:rFonts w:ascii="Times New Roman" w:hAnsi="Times New Roman" w:cs="Times New Roman"/>
                <w:b/>
                <w:sz w:val="24"/>
                <w:szCs w:val="24"/>
                <w:lang w:val="ru-RU" w:eastAsia="ru-RU"/>
              </w:rPr>
              <w:t>229 924</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5329A8">
              <w:rPr>
                <w:rFonts w:ascii="Times New Roman" w:hAnsi="Times New Roman" w:cs="Times New Roman"/>
                <w:sz w:val="24"/>
                <w:szCs w:val="24"/>
                <w:lang w:val="ru-RU" w:eastAsia="ru-RU"/>
              </w:rPr>
              <w:t xml:space="preserve">Двести </w:t>
            </w:r>
            <w:r w:rsidR="005C66F1">
              <w:rPr>
                <w:rFonts w:ascii="Times New Roman" w:hAnsi="Times New Roman" w:cs="Times New Roman"/>
                <w:sz w:val="24"/>
                <w:szCs w:val="24"/>
                <w:lang w:val="ru-RU" w:eastAsia="ru-RU"/>
              </w:rPr>
              <w:t xml:space="preserve">двадцать девять тысяч девятьсот двадцать четыре) </w:t>
            </w:r>
            <w:r w:rsidR="00FA2658">
              <w:rPr>
                <w:rFonts w:ascii="Times New Roman" w:hAnsi="Times New Roman" w:cs="Times New Roman"/>
                <w:b/>
                <w:sz w:val="24"/>
                <w:szCs w:val="24"/>
                <w:lang w:val="ru-RU" w:eastAsia="ru-RU"/>
              </w:rPr>
              <w:t>рубл</w:t>
            </w:r>
            <w:r w:rsidR="005329A8">
              <w:rPr>
                <w:rFonts w:ascii="Times New Roman" w:hAnsi="Times New Roman" w:cs="Times New Roman"/>
                <w:b/>
                <w:sz w:val="24"/>
                <w:szCs w:val="24"/>
                <w:lang w:val="ru-RU" w:eastAsia="ru-RU"/>
              </w:rPr>
              <w:t>я</w:t>
            </w:r>
            <w:r w:rsidR="00FA2658">
              <w:rPr>
                <w:rFonts w:ascii="Times New Roman" w:hAnsi="Times New Roman" w:cs="Times New Roman"/>
                <w:b/>
                <w:sz w:val="24"/>
                <w:szCs w:val="24"/>
                <w:lang w:val="ru-RU" w:eastAsia="ru-RU"/>
              </w:rPr>
              <w:t xml:space="preserve"> </w:t>
            </w:r>
            <w:r w:rsidR="005C66F1">
              <w:rPr>
                <w:rFonts w:ascii="Times New Roman" w:hAnsi="Times New Roman" w:cs="Times New Roman"/>
                <w:b/>
                <w:sz w:val="24"/>
                <w:szCs w:val="24"/>
                <w:lang w:val="ru-RU" w:eastAsia="ru-RU"/>
              </w:rPr>
              <w:t>02</w:t>
            </w:r>
            <w:r w:rsidR="00D36967" w:rsidRPr="00D36967">
              <w:rPr>
                <w:rFonts w:ascii="Times New Roman" w:hAnsi="Times New Roman" w:cs="Times New Roman"/>
                <w:b/>
                <w:sz w:val="24"/>
                <w:szCs w:val="24"/>
                <w:lang w:val="ru-RU" w:eastAsia="ru-RU"/>
              </w:rPr>
              <w:t xml:space="preserve"> копе</w:t>
            </w:r>
            <w:r w:rsidR="005C66F1">
              <w:rPr>
                <w:rFonts w:ascii="Times New Roman" w:hAnsi="Times New Roman" w:cs="Times New Roman"/>
                <w:b/>
                <w:sz w:val="24"/>
                <w:szCs w:val="24"/>
                <w:lang w:val="ru-RU" w:eastAsia="ru-RU"/>
              </w:rPr>
              <w:t>йки</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5C66F1">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55FAD"/>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C66F1"/>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AF2C-2890-4C7E-BDB6-82B7ABCC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27</cp:revision>
  <cp:lastPrinted>2023-05-23T09:07:00Z</cp:lastPrinted>
  <dcterms:created xsi:type="dcterms:W3CDTF">2022-05-20T09:00:00Z</dcterms:created>
  <dcterms:modified xsi:type="dcterms:W3CDTF">2023-06-14T12:06:00Z</dcterms:modified>
</cp:coreProperties>
</file>