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D2151A" w:rsidRPr="001F6EE0"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 xml:space="preserve">ставку </w:t>
      </w:r>
      <w:r w:rsidR="0033396D">
        <w:rPr>
          <w:b/>
          <w:bCs/>
          <w:color w:val="000000"/>
          <w:sz w:val="24"/>
          <w:szCs w:val="24"/>
          <w:shd w:val="clear" w:color="auto" w:fill="FFFFFF"/>
        </w:rPr>
        <w:t xml:space="preserve">обложек для использования на переплетной системе </w:t>
      </w:r>
      <w:proofErr w:type="spellStart"/>
      <w:r w:rsidR="0033396D" w:rsidRPr="0033396D">
        <w:rPr>
          <w:b/>
          <w:bCs/>
          <w:color w:val="000000"/>
          <w:sz w:val="24"/>
          <w:szCs w:val="24"/>
          <w:shd w:val="clear" w:color="auto" w:fill="FFFFFF"/>
        </w:rPr>
        <w:t>Unibind</w:t>
      </w:r>
      <w:proofErr w:type="spellEnd"/>
      <w:r w:rsidR="0033396D" w:rsidRPr="0033396D">
        <w:rPr>
          <w:b/>
          <w:bCs/>
          <w:color w:val="000000"/>
          <w:sz w:val="24"/>
          <w:szCs w:val="24"/>
          <w:shd w:val="clear" w:color="auto" w:fill="FFFFFF"/>
        </w:rPr>
        <w:t xml:space="preserve"> XU-238</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C7BE2"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0236CC">
              <w:rPr>
                <w:sz w:val="24"/>
                <w:szCs w:val="24"/>
              </w:rPr>
              <w:t>28013512 772801001 0053</w:t>
            </w:r>
            <w:r w:rsidR="00453987">
              <w:rPr>
                <w:sz w:val="24"/>
                <w:szCs w:val="24"/>
              </w:rPr>
              <w:t xml:space="preserve"> 0</w:t>
            </w:r>
            <w:r w:rsidR="0033396D">
              <w:rPr>
                <w:sz w:val="24"/>
                <w:szCs w:val="24"/>
              </w:rPr>
              <w:t>01 1723</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33396D" w:rsidRDefault="0033396D" w:rsidP="00FA6454">
            <w:pPr>
              <w:pStyle w:val="ConsPlusNormal"/>
              <w:jc w:val="both"/>
              <w:rPr>
                <w:bCs/>
                <w:sz w:val="24"/>
                <w:szCs w:val="24"/>
              </w:rPr>
            </w:pPr>
            <w:r w:rsidRPr="0033396D">
              <w:rPr>
                <w:bCs/>
                <w:sz w:val="24"/>
                <w:szCs w:val="24"/>
              </w:rPr>
              <w:t xml:space="preserve">Поставка обложек для использования на переплетной системе </w:t>
            </w:r>
            <w:proofErr w:type="spellStart"/>
            <w:r w:rsidRPr="0033396D">
              <w:rPr>
                <w:bCs/>
                <w:sz w:val="24"/>
                <w:szCs w:val="24"/>
              </w:rPr>
              <w:t>Unibind</w:t>
            </w:r>
            <w:proofErr w:type="spellEnd"/>
            <w:r w:rsidRPr="0033396D">
              <w:rPr>
                <w:bCs/>
                <w:sz w:val="24"/>
                <w:szCs w:val="24"/>
              </w:rPr>
              <w:t xml:space="preserve"> XU-238</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33396D" w:rsidRPr="0033396D" w:rsidRDefault="0033396D" w:rsidP="0033396D">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ОКПД 2</w:t>
            </w:r>
            <w:r w:rsidRPr="0033396D">
              <w:rPr>
                <w:rFonts w:eastAsia="Times New Roman" w:cs="Times New Roman"/>
                <w:bCs/>
                <w:sz w:val="24"/>
                <w:szCs w:val="24"/>
                <w:lang w:eastAsia="ru-RU"/>
              </w:rPr>
              <w:t>: 17.23.13.199 - Принадлежности канцелярские прочие из бумаги или картона, не включенные в другие группировки;</w:t>
            </w:r>
          </w:p>
          <w:p w:rsidR="00D2151A" w:rsidRPr="0033396D" w:rsidRDefault="0033396D" w:rsidP="0033396D">
            <w:pPr>
              <w:spacing w:after="0" w:line="240" w:lineRule="auto"/>
              <w:jc w:val="both"/>
              <w:rPr>
                <w:rFonts w:eastAsia="Times New Roman" w:cs="Times New Roman"/>
                <w:bCs/>
                <w:i/>
                <w:sz w:val="24"/>
                <w:szCs w:val="24"/>
                <w:lang w:eastAsia="ru-RU"/>
              </w:rPr>
            </w:pPr>
            <w:r w:rsidRPr="0033396D">
              <w:rPr>
                <w:rFonts w:eastAsia="Times New Roman" w:cs="Times New Roman"/>
                <w:bCs/>
                <w:i/>
                <w:sz w:val="24"/>
                <w:szCs w:val="24"/>
                <w:lang w:eastAsia="ru-RU"/>
              </w:rPr>
              <w:t>КТРУ 17.23.13.199-00000008 - Обложка для переплета картонная.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316582" w:rsidRDefault="00316582" w:rsidP="00FB2F99">
            <w:pPr>
              <w:pStyle w:val="ConsPlusNormal"/>
              <w:rPr>
                <w:rFonts w:eastAsia="Calibri"/>
                <w:sz w:val="24"/>
                <w:szCs w:val="24"/>
                <w:lang w:eastAsia="ar-SA"/>
              </w:rPr>
            </w:pPr>
            <w:r w:rsidRPr="00316582">
              <w:rPr>
                <w:rFonts w:eastAsia="Calibri"/>
                <w:sz w:val="24"/>
                <w:szCs w:val="24"/>
                <w:lang w:eastAsia="ar-SA"/>
              </w:rPr>
              <w:t>Обложки для переплета картонные 50 мм</w:t>
            </w:r>
            <w:r>
              <w:rPr>
                <w:rFonts w:eastAsia="Calibri"/>
                <w:sz w:val="24"/>
                <w:szCs w:val="24"/>
                <w:lang w:eastAsia="ar-SA"/>
              </w:rPr>
              <w:t xml:space="preserve"> - 5 упаковок;</w:t>
            </w:r>
          </w:p>
          <w:p w:rsidR="00316582" w:rsidRDefault="00316582" w:rsidP="00FB2F99">
            <w:pPr>
              <w:pStyle w:val="ConsPlusNormal"/>
              <w:rPr>
                <w:rFonts w:eastAsia="Calibri"/>
                <w:sz w:val="24"/>
                <w:szCs w:val="24"/>
                <w:lang w:eastAsia="ar-SA"/>
              </w:rPr>
            </w:pPr>
            <w:r w:rsidRPr="00316582">
              <w:rPr>
                <w:rFonts w:eastAsia="Calibri"/>
                <w:sz w:val="24"/>
                <w:szCs w:val="24"/>
                <w:lang w:eastAsia="ar-SA"/>
              </w:rPr>
              <w:t>Обложки для переплета картонные 36 мм</w:t>
            </w:r>
            <w:r>
              <w:rPr>
                <w:rFonts w:eastAsia="Calibri"/>
                <w:sz w:val="24"/>
                <w:szCs w:val="24"/>
                <w:lang w:eastAsia="ar-SA"/>
              </w:rPr>
              <w:t xml:space="preserve"> - 5 упаковок;</w:t>
            </w:r>
          </w:p>
          <w:p w:rsidR="00316582" w:rsidRDefault="00316582" w:rsidP="00FB2F99">
            <w:pPr>
              <w:pStyle w:val="ConsPlusNormal"/>
              <w:rPr>
                <w:rFonts w:eastAsia="Calibri"/>
                <w:sz w:val="24"/>
                <w:szCs w:val="24"/>
                <w:lang w:eastAsia="ar-SA"/>
              </w:rPr>
            </w:pPr>
            <w:r w:rsidRPr="00316582">
              <w:rPr>
                <w:rFonts w:eastAsia="Calibri"/>
                <w:sz w:val="24"/>
                <w:szCs w:val="24"/>
                <w:lang w:eastAsia="ar-SA"/>
              </w:rPr>
              <w:t>Обложки для переплета картонные 30 мм</w:t>
            </w:r>
            <w:r>
              <w:rPr>
                <w:rFonts w:eastAsia="Calibri"/>
                <w:sz w:val="24"/>
                <w:szCs w:val="24"/>
                <w:lang w:eastAsia="ar-SA"/>
              </w:rPr>
              <w:t xml:space="preserve"> - 5 упаковок.</w:t>
            </w:r>
          </w:p>
          <w:p w:rsidR="00FB2F99" w:rsidRPr="00621123" w:rsidRDefault="009C659E" w:rsidP="00FB2F99">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1F6EE0" w:rsidP="001F6EE0">
            <w:pPr>
              <w:pStyle w:val="ConsPlusNormal"/>
              <w:jc w:val="both"/>
              <w:rPr>
                <w:sz w:val="24"/>
                <w:szCs w:val="24"/>
              </w:rPr>
            </w:pPr>
            <w:r>
              <w:rPr>
                <w:sz w:val="24"/>
                <w:szCs w:val="24"/>
              </w:rPr>
              <w:t>Срок поставки Товара: д</w:t>
            </w:r>
            <w:r w:rsidR="00AF2F02" w:rsidRPr="00AF2F02">
              <w:rPr>
                <w:sz w:val="24"/>
                <w:szCs w:val="24"/>
              </w:rPr>
              <w:t>о истечения 14 (четырнадцати) календарных дней</w:t>
            </w:r>
            <w:r>
              <w:rPr>
                <w:sz w:val="24"/>
                <w:szCs w:val="24"/>
              </w:rPr>
              <w:t xml:space="preserve"> </w:t>
            </w:r>
            <w:r w:rsidR="00AF2F02" w:rsidRPr="00AF2F02">
              <w:rPr>
                <w:sz w:val="24"/>
                <w:szCs w:val="24"/>
              </w:rPr>
              <w:t>с даты заключения Контракта</w:t>
            </w:r>
            <w:r>
              <w:rPr>
                <w:sz w:val="24"/>
                <w:szCs w:val="24"/>
              </w:rPr>
              <w:t>;</w:t>
            </w:r>
            <w:r w:rsidRPr="001F6EE0">
              <w:rPr>
                <w:rFonts w:eastAsia="Calibri"/>
                <w:sz w:val="24"/>
                <w:szCs w:val="24"/>
                <w:lang w:eastAsia="en-US"/>
              </w:rPr>
              <w:t xml:space="preserve"> </w:t>
            </w:r>
            <w:r>
              <w:rPr>
                <w:sz w:val="24"/>
                <w:szCs w:val="24"/>
              </w:rPr>
              <w:t>К</w:t>
            </w:r>
            <w:r w:rsidRPr="001F6EE0">
              <w:rPr>
                <w:sz w:val="24"/>
                <w:szCs w:val="24"/>
              </w:rPr>
              <w:t>онтракт действует по «23» декабря 2022 г.</w:t>
            </w:r>
          </w:p>
        </w:tc>
      </w:tr>
      <w:tr w:rsidR="00D2151A" w:rsidRPr="00621123" w:rsidTr="000236CC">
        <w:trPr>
          <w:trHeight w:val="500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w:t>
            </w:r>
            <w:r w:rsidRPr="000236CC">
              <w:rPr>
                <w:sz w:val="22"/>
                <w:szCs w:val="22"/>
              </w:rPr>
              <w:t xml:space="preserve">Российской Федерации </w:t>
            </w:r>
            <w:r w:rsidRPr="000236CC">
              <w:rPr>
                <w:sz w:val="24"/>
                <w:szCs w:val="24"/>
              </w:rPr>
              <w:t xml:space="preserve">в соответствии с </w:t>
            </w:r>
            <w:hyperlink r:id="rId11" w:history="1">
              <w:r w:rsidRPr="000236CC">
                <w:rPr>
                  <w:sz w:val="24"/>
                  <w:szCs w:val="24"/>
                </w:rPr>
                <w:t>частью 2 статьи 34</w:t>
              </w:r>
            </w:hyperlink>
            <w:r w:rsidRPr="000236CC">
              <w:rPr>
                <w:sz w:val="24"/>
                <w:szCs w:val="24"/>
              </w:rPr>
              <w:t xml:space="preserve"> Федерального закона</w:t>
            </w:r>
            <w:r w:rsidR="00AE1760" w:rsidRPr="000236CC">
              <w:rPr>
                <w:sz w:val="24"/>
                <w:szCs w:val="24"/>
              </w:rPr>
              <w:t xml:space="preserve"> № 44-ФЗ</w:t>
            </w:r>
            <w:r w:rsidRPr="000236CC">
              <w:rPr>
                <w:sz w:val="24"/>
                <w:szCs w:val="24"/>
              </w:rPr>
              <w:t>, указываются</w:t>
            </w:r>
            <w:r w:rsidRPr="000236CC">
              <w:rPr>
                <w:sz w:val="22"/>
                <w:szCs w:val="22"/>
              </w:rPr>
              <w:t xml:space="preserve"> </w:t>
            </w:r>
            <w:r w:rsidRPr="000236CC">
              <w:rPr>
                <w:sz w:val="24"/>
                <w:szCs w:val="24"/>
              </w:rPr>
              <w:t>ориентировочное значение цены</w:t>
            </w:r>
            <w:r w:rsidRPr="000236CC">
              <w:rPr>
                <w:sz w:val="22"/>
                <w:szCs w:val="22"/>
              </w:rPr>
              <w:t xml:space="preserve"> </w:t>
            </w:r>
            <w:r w:rsidRPr="000236CC">
              <w:rPr>
                <w:sz w:val="24"/>
                <w:szCs w:val="24"/>
              </w:rPr>
              <w:t xml:space="preserve">контракта либо формула цены и </w:t>
            </w:r>
            <w:r w:rsidRPr="000236CC">
              <w:rPr>
                <w:sz w:val="22"/>
                <w:szCs w:val="22"/>
              </w:rPr>
              <w:t>максимальное значение цены контракта</w:t>
            </w:r>
          </w:p>
        </w:tc>
        <w:tc>
          <w:tcPr>
            <w:tcW w:w="5528" w:type="dxa"/>
          </w:tcPr>
          <w:p w:rsidR="00AF2F02" w:rsidRPr="001F6EE0" w:rsidRDefault="00316582" w:rsidP="00316582">
            <w:pPr>
              <w:pStyle w:val="ConsPlusNormal"/>
              <w:jc w:val="both"/>
              <w:rPr>
                <w:sz w:val="24"/>
                <w:szCs w:val="24"/>
              </w:rPr>
            </w:pPr>
            <w:r>
              <w:rPr>
                <w:b/>
                <w:sz w:val="24"/>
                <w:szCs w:val="24"/>
              </w:rPr>
              <w:t>91 750</w:t>
            </w:r>
            <w:r w:rsidR="00AF2F02">
              <w:rPr>
                <w:sz w:val="24"/>
                <w:szCs w:val="24"/>
              </w:rPr>
              <w:t xml:space="preserve"> (</w:t>
            </w:r>
            <w:r>
              <w:rPr>
                <w:sz w:val="24"/>
                <w:szCs w:val="24"/>
              </w:rPr>
              <w:t>Девяносто одна тысяча семьсот пятьдесят</w:t>
            </w:r>
            <w:r w:rsidR="00AF2F02" w:rsidRPr="00AF2F02">
              <w:rPr>
                <w:sz w:val="24"/>
                <w:szCs w:val="24"/>
              </w:rPr>
              <w:t xml:space="preserve">) </w:t>
            </w:r>
            <w:r w:rsidR="00025894">
              <w:rPr>
                <w:b/>
                <w:sz w:val="24"/>
                <w:szCs w:val="24"/>
              </w:rPr>
              <w:t>рублей</w:t>
            </w:r>
            <w:r>
              <w:rPr>
                <w:b/>
                <w:sz w:val="24"/>
                <w:szCs w:val="24"/>
              </w:rPr>
              <w:t xml:space="preserve"> 0</w:t>
            </w:r>
            <w:r w:rsidR="00AF2F02" w:rsidRPr="00AF2F02">
              <w:rPr>
                <w:b/>
                <w:sz w:val="24"/>
                <w:szCs w:val="24"/>
              </w:rPr>
              <w:t>0 копеек, с учетом НДС 20</w:t>
            </w:r>
            <w:r w:rsidR="00025894">
              <w:rPr>
                <w:b/>
                <w:sz w:val="24"/>
                <w:szCs w:val="24"/>
              </w:rPr>
              <w:t xml:space="preserve"> </w:t>
            </w:r>
            <w:r w:rsidR="00AF2F02" w:rsidRPr="00AF2F02">
              <w:rPr>
                <w:b/>
                <w:sz w:val="24"/>
                <w:szCs w:val="24"/>
              </w:rPr>
              <w:t>%</w:t>
            </w:r>
            <w:r w:rsidR="00AF2F02" w:rsidRPr="00AF2F02">
              <w:rPr>
                <w:sz w:val="24"/>
                <w:szCs w:val="24"/>
              </w:rPr>
              <w:t xml:space="preserve"> - </w:t>
            </w:r>
            <w:r w:rsidR="00025894">
              <w:rPr>
                <w:sz w:val="24"/>
                <w:szCs w:val="24"/>
              </w:rPr>
              <w:t>15 291,67</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lastRenderedPageBreak/>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B21B85" w:rsidRPr="00A730BF" w:rsidRDefault="002743FB" w:rsidP="000E001C">
            <w:pPr>
              <w:pStyle w:val="ConsPlusNormal"/>
              <w:tabs>
                <w:tab w:val="left" w:pos="2980"/>
              </w:tabs>
              <w:rPr>
                <w:b/>
                <w:sz w:val="24"/>
                <w:szCs w:val="24"/>
              </w:rPr>
            </w:pPr>
            <w:r w:rsidRPr="00A730BF">
              <w:rPr>
                <w:b/>
                <w:sz w:val="24"/>
                <w:szCs w:val="24"/>
              </w:rPr>
              <w:t>Установлено</w:t>
            </w:r>
          </w:p>
          <w:p w:rsidR="00A730BF" w:rsidRPr="00A730BF" w:rsidRDefault="00A730BF" w:rsidP="00A730BF">
            <w:pPr>
              <w:spacing w:after="0" w:line="276" w:lineRule="auto"/>
              <w:jc w:val="both"/>
              <w:rPr>
                <w:rFonts w:eastAsia="SimSun" w:cs="Times New Roman"/>
                <w:iCs/>
                <w:sz w:val="24"/>
                <w:szCs w:val="24"/>
              </w:rPr>
            </w:pPr>
            <w:r w:rsidRPr="00A730BF">
              <w:rPr>
                <w:rFonts w:eastAsia="SimSun" w:cs="Times New Roman"/>
                <w:b/>
                <w:i/>
                <w:iCs/>
                <w:sz w:val="24"/>
                <w:szCs w:val="24"/>
              </w:rPr>
              <w:t>Ограничение допуска отдельных видов промышленных товаров</w:t>
            </w:r>
            <w:r w:rsidRPr="00A730BF">
              <w:rPr>
                <w:rFonts w:eastAsia="SimSun" w:cs="Times New Roman"/>
                <w:iCs/>
                <w:sz w:val="24"/>
                <w:szCs w:val="24"/>
              </w:rPr>
              <w:t>, происходящих из иностранных государств в соответствии с 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Pr>
                <w:rFonts w:eastAsia="SimSun" w:cs="Times New Roman"/>
                <w:iCs/>
                <w:sz w:val="24"/>
                <w:szCs w:val="24"/>
              </w:rPr>
              <w:t>;</w:t>
            </w:r>
          </w:p>
          <w:p w:rsidR="00A730BF" w:rsidRPr="00A730BF" w:rsidRDefault="00A730BF" w:rsidP="002743FB">
            <w:pPr>
              <w:spacing w:after="0" w:line="276" w:lineRule="auto"/>
              <w:jc w:val="both"/>
              <w:rPr>
                <w:rFonts w:eastAsia="SimSun" w:cs="Times New Roman"/>
                <w:b/>
                <w:i/>
                <w:iCs/>
                <w:sz w:val="12"/>
                <w:szCs w:val="12"/>
              </w:rPr>
            </w:pPr>
          </w:p>
          <w:p w:rsidR="002743FB" w:rsidRPr="002E5258" w:rsidRDefault="002743FB" w:rsidP="002743FB">
            <w:pPr>
              <w:spacing w:after="0" w:line="276" w:lineRule="auto"/>
              <w:jc w:val="both"/>
              <w:rPr>
                <w:rFonts w:eastAsia="SimSun" w:cs="Times New Roman"/>
                <w:sz w:val="24"/>
                <w:szCs w:val="24"/>
              </w:rPr>
            </w:pPr>
            <w:r w:rsidRPr="00A730BF">
              <w:rPr>
                <w:rFonts w:eastAsia="SimSun" w:cs="Times New Roman"/>
                <w:b/>
                <w:i/>
                <w:iCs/>
                <w:sz w:val="24"/>
                <w:szCs w:val="24"/>
              </w:rPr>
              <w:t>Условия допуска товаров</w:t>
            </w:r>
            <w:r w:rsidRPr="002E5258">
              <w:rPr>
                <w:rFonts w:eastAsia="SimSun" w:cs="Times New Roman"/>
                <w:iCs/>
                <w:sz w:val="24"/>
                <w:szCs w:val="24"/>
              </w:rPr>
              <w:t xml:space="preserve">, происходящих из иностранного государства или группы иностранных </w:t>
            </w:r>
            <w:r w:rsidRPr="002E5258">
              <w:rPr>
                <w:rFonts w:eastAsia="SimSun" w:cs="Times New Roman"/>
                <w:i/>
                <w:iCs/>
                <w:sz w:val="24"/>
                <w:szCs w:val="24"/>
              </w:rPr>
              <w:t xml:space="preserve">государств </w:t>
            </w:r>
            <w:r w:rsidRPr="002E5258">
              <w:rPr>
                <w:rFonts w:eastAsia="SimSun" w:cs="Times New Roman"/>
                <w:i/>
                <w:sz w:val="24"/>
                <w:szCs w:val="24"/>
              </w:rPr>
              <w:t>в соответствии с приказом Минфина России от 4 июня 2018 г. № 126н</w:t>
            </w:r>
            <w:r w:rsidRPr="002E5258">
              <w:rPr>
                <w:rFonts w:eastAsia="SimSun"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A730BF" w:rsidRPr="00A730BF" w:rsidRDefault="00A730BF" w:rsidP="002743FB">
            <w:pPr>
              <w:pStyle w:val="ConsPlusNormal"/>
              <w:tabs>
                <w:tab w:val="left" w:pos="2980"/>
              </w:tabs>
              <w:rPr>
                <w:rFonts w:eastAsia="SimSun"/>
                <w:sz w:val="24"/>
                <w:szCs w:val="24"/>
              </w:rPr>
            </w:pPr>
            <w:r>
              <w:rPr>
                <w:rFonts w:eastAsia="SimSun"/>
                <w:sz w:val="24"/>
                <w:szCs w:val="24"/>
              </w:rPr>
              <w:t>нужд»;</w:t>
            </w: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000DA3" w:rsidRPr="002743FB" w:rsidRDefault="00000DA3" w:rsidP="00E46724">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251A5C" w:rsidRPr="002743FB" w:rsidRDefault="00251A5C" w:rsidP="00251A5C">
            <w:pPr>
              <w:pStyle w:val="ConsPlusNormal"/>
              <w:jc w:val="both"/>
              <w:rPr>
                <w:sz w:val="24"/>
                <w:szCs w:val="24"/>
              </w:rPr>
            </w:pP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о проведении электронного аукциона </w:t>
            </w:r>
            <w:r w:rsidR="009A5D0E" w:rsidRPr="002743FB">
              <w:rPr>
                <w:bCs/>
                <w:i/>
                <w:sz w:val="24"/>
                <w:szCs w:val="24"/>
              </w:rPr>
              <w:t xml:space="preserve">на </w:t>
            </w:r>
            <w:r w:rsidR="00A730BF" w:rsidRPr="00A730BF">
              <w:rPr>
                <w:bCs/>
                <w:i/>
                <w:sz w:val="24"/>
                <w:szCs w:val="24"/>
              </w:rPr>
              <w:t xml:space="preserve">поставку обложек для использования на переплетной системе </w:t>
            </w:r>
            <w:proofErr w:type="spellStart"/>
            <w:r w:rsidR="00A730BF" w:rsidRPr="00A730BF">
              <w:rPr>
                <w:bCs/>
                <w:i/>
                <w:sz w:val="24"/>
                <w:szCs w:val="24"/>
              </w:rPr>
              <w:t>Unibind</w:t>
            </w:r>
            <w:proofErr w:type="spellEnd"/>
            <w:r w:rsidR="00A730BF" w:rsidRPr="00A730BF">
              <w:rPr>
                <w:bCs/>
                <w:i/>
                <w:sz w:val="24"/>
                <w:szCs w:val="24"/>
              </w:rPr>
              <w:t xml:space="preserve"> XU-238</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1"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2"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3"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AC7BE2" w:rsidP="00556ED0">
            <w:pPr>
              <w:pStyle w:val="ConsPlusNormal"/>
              <w:rPr>
                <w:b/>
                <w:sz w:val="24"/>
                <w:szCs w:val="24"/>
              </w:rPr>
            </w:pPr>
            <w:r>
              <w:rPr>
                <w:b/>
                <w:sz w:val="24"/>
                <w:szCs w:val="24"/>
              </w:rPr>
              <w:t>«28» октября</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AC7BE2" w:rsidP="004115C4">
            <w:pPr>
              <w:pStyle w:val="ConsPlusNormal"/>
              <w:rPr>
                <w:b/>
                <w:sz w:val="24"/>
                <w:szCs w:val="24"/>
              </w:rPr>
            </w:pPr>
            <w:r>
              <w:rPr>
                <w:b/>
                <w:sz w:val="24"/>
                <w:szCs w:val="24"/>
              </w:rPr>
              <w:t>«28</w:t>
            </w:r>
            <w:r w:rsidR="009C7B30" w:rsidRPr="00AD7BCD">
              <w:rPr>
                <w:b/>
                <w:sz w:val="24"/>
                <w:szCs w:val="24"/>
              </w:rPr>
              <w:t>»</w:t>
            </w:r>
            <w:r w:rsidR="00014F32">
              <w:rPr>
                <w:b/>
                <w:sz w:val="24"/>
                <w:szCs w:val="24"/>
              </w:rPr>
              <w:t xml:space="preserve"> </w:t>
            </w:r>
            <w:r>
              <w:rPr>
                <w:b/>
                <w:sz w:val="24"/>
                <w:szCs w:val="24"/>
              </w:rPr>
              <w:t xml:space="preserve">октября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AC7BE2">
              <w:rPr>
                <w:b/>
                <w:sz w:val="24"/>
                <w:szCs w:val="24"/>
              </w:rPr>
              <w:t>01</w:t>
            </w:r>
            <w:r w:rsidR="00437235" w:rsidRPr="00AD7BCD">
              <w:rPr>
                <w:b/>
                <w:sz w:val="24"/>
                <w:szCs w:val="24"/>
              </w:rPr>
              <w:t>»</w:t>
            </w:r>
            <w:r w:rsidR="00014F32">
              <w:rPr>
                <w:b/>
                <w:sz w:val="24"/>
                <w:szCs w:val="24"/>
              </w:rPr>
              <w:t xml:space="preserve"> </w:t>
            </w:r>
            <w:r w:rsidR="00AC7BE2">
              <w:rPr>
                <w:b/>
                <w:sz w:val="24"/>
                <w:szCs w:val="24"/>
              </w:rPr>
              <w:t xml:space="preserve">ноября </w:t>
            </w:r>
            <w:r w:rsidR="00437235" w:rsidRPr="00AD7BCD">
              <w:rPr>
                <w:b/>
                <w:sz w:val="24"/>
                <w:szCs w:val="24"/>
              </w:rPr>
              <w:t>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E62D87">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E62D87">
      <w:pPr>
        <w:pStyle w:val="ConsPlusNormal"/>
        <w:spacing w:before="120" w:after="120"/>
        <w:ind w:firstLine="567"/>
        <w:jc w:val="both"/>
        <w:rPr>
          <w:sz w:val="24"/>
          <w:szCs w:val="24"/>
        </w:rPr>
      </w:pPr>
      <w:r w:rsidRPr="002743FB">
        <w:rPr>
          <w:sz w:val="24"/>
          <w:szCs w:val="24"/>
        </w:rPr>
        <w:t>Приложение № 2 «Проект контракта»;</w:t>
      </w:r>
    </w:p>
    <w:p w:rsidR="003647E4" w:rsidRPr="002743FB" w:rsidRDefault="000451EF" w:rsidP="00E62D87">
      <w:pPr>
        <w:pStyle w:val="ConsPlusNormal"/>
        <w:spacing w:before="120" w:after="120"/>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E62D87">
      <w:pPr>
        <w:pStyle w:val="ConsPlusNormal"/>
        <w:spacing w:before="120" w:after="120"/>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4"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E62D87">
      <w:pPr>
        <w:pStyle w:val="ConsPlusNormal"/>
        <w:spacing w:before="120" w:after="120"/>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A730BF" w:rsidRDefault="00A730BF" w:rsidP="00ED1056">
      <w:pPr>
        <w:jc w:val="both"/>
        <w:rPr>
          <w:sz w:val="24"/>
          <w:szCs w:val="24"/>
        </w:rPr>
      </w:pPr>
    </w:p>
    <w:p w:rsidR="00A730BF" w:rsidRDefault="00A730BF" w:rsidP="00ED1056">
      <w:pPr>
        <w:jc w:val="both"/>
        <w:rPr>
          <w:sz w:val="24"/>
          <w:szCs w:val="24"/>
        </w:rPr>
      </w:pPr>
    </w:p>
    <w:p w:rsidR="00A730BF" w:rsidRDefault="00A730BF" w:rsidP="00ED1056">
      <w:pPr>
        <w:jc w:val="both"/>
        <w:rPr>
          <w:sz w:val="24"/>
          <w:szCs w:val="24"/>
        </w:rPr>
      </w:pPr>
    </w:p>
    <w:p w:rsidR="00ED1056" w:rsidRPr="0016716D" w:rsidRDefault="00ED1056" w:rsidP="00ED1056">
      <w:pPr>
        <w:spacing w:after="0"/>
        <w:jc w:val="both"/>
        <w:rPr>
          <w:sz w:val="20"/>
          <w:szCs w:val="20"/>
        </w:rPr>
      </w:pPr>
      <w:bookmarkStart w:id="0" w:name="_GoBack"/>
      <w:bookmarkEnd w:id="0"/>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sectPr w:rsidR="00ED1056" w:rsidRPr="00AE1760" w:rsidSect="00A730BF">
      <w:footerReference w:type="default" r:id="rId25"/>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AC7BE2">
          <w:rPr>
            <w:noProof/>
            <w:sz w:val="22"/>
          </w:rPr>
          <w:t>7</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36CC"/>
    <w:rsid w:val="00025894"/>
    <w:rsid w:val="00041901"/>
    <w:rsid w:val="000451EF"/>
    <w:rsid w:val="00076CC5"/>
    <w:rsid w:val="0009218B"/>
    <w:rsid w:val="000B0541"/>
    <w:rsid w:val="000E001C"/>
    <w:rsid w:val="000E0CF2"/>
    <w:rsid w:val="000E39DF"/>
    <w:rsid w:val="0010152C"/>
    <w:rsid w:val="00114560"/>
    <w:rsid w:val="00121ED9"/>
    <w:rsid w:val="00147433"/>
    <w:rsid w:val="0016627A"/>
    <w:rsid w:val="00166F57"/>
    <w:rsid w:val="001A7C0F"/>
    <w:rsid w:val="001B5752"/>
    <w:rsid w:val="001F6EE0"/>
    <w:rsid w:val="002003F1"/>
    <w:rsid w:val="002136DD"/>
    <w:rsid w:val="00221B4A"/>
    <w:rsid w:val="00234B41"/>
    <w:rsid w:val="0024124E"/>
    <w:rsid w:val="00251A5C"/>
    <w:rsid w:val="00263327"/>
    <w:rsid w:val="002743FB"/>
    <w:rsid w:val="002927FC"/>
    <w:rsid w:val="00293899"/>
    <w:rsid w:val="002A6C36"/>
    <w:rsid w:val="002C491F"/>
    <w:rsid w:val="002D0D2A"/>
    <w:rsid w:val="002F5455"/>
    <w:rsid w:val="003024D5"/>
    <w:rsid w:val="00316582"/>
    <w:rsid w:val="00317031"/>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E161A"/>
    <w:rsid w:val="004F7F70"/>
    <w:rsid w:val="00507EB1"/>
    <w:rsid w:val="005140B8"/>
    <w:rsid w:val="0051651A"/>
    <w:rsid w:val="00523EE3"/>
    <w:rsid w:val="00531523"/>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E5F59"/>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36C69"/>
    <w:rsid w:val="00A47C18"/>
    <w:rsid w:val="00A56968"/>
    <w:rsid w:val="00A61910"/>
    <w:rsid w:val="00A63F55"/>
    <w:rsid w:val="00A730BF"/>
    <w:rsid w:val="00AA6E34"/>
    <w:rsid w:val="00AC52AB"/>
    <w:rsid w:val="00AC7BE2"/>
    <w:rsid w:val="00AD1449"/>
    <w:rsid w:val="00AD4BBA"/>
    <w:rsid w:val="00AD7BCD"/>
    <w:rsid w:val="00AE1760"/>
    <w:rsid w:val="00AF0D37"/>
    <w:rsid w:val="00AF2F02"/>
    <w:rsid w:val="00B17267"/>
    <w:rsid w:val="00B21B85"/>
    <w:rsid w:val="00B2288D"/>
    <w:rsid w:val="00B251DE"/>
    <w:rsid w:val="00B26421"/>
    <w:rsid w:val="00B276E6"/>
    <w:rsid w:val="00B43B7A"/>
    <w:rsid w:val="00B71A3B"/>
    <w:rsid w:val="00B81C27"/>
    <w:rsid w:val="00B9778A"/>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5440"/>
    <w:rsid w:val="00EC798E"/>
    <w:rsid w:val="00ED1056"/>
    <w:rsid w:val="00ED264A"/>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12</cp:revision>
  <cp:lastPrinted>2022-10-17T10:24:00Z</cp:lastPrinted>
  <dcterms:created xsi:type="dcterms:W3CDTF">2022-08-02T09:23:00Z</dcterms:created>
  <dcterms:modified xsi:type="dcterms:W3CDTF">2022-10-20T14:10:00Z</dcterms:modified>
</cp:coreProperties>
</file>