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4E9A" w:rsidRDefault="00304E9A" w:rsidP="007953BE">
      <w:pPr>
        <w:spacing w:before="0" w:beforeAutospacing="0" w:after="0" w:afterAutospacing="0"/>
        <w:ind w:firstLine="4962"/>
        <w:rPr>
          <w:rFonts w:cstheme="minorHAnsi"/>
          <w:bCs/>
          <w:color w:val="000000"/>
          <w:sz w:val="24"/>
          <w:szCs w:val="24"/>
          <w:lang w:val="ru-RU"/>
        </w:rPr>
      </w:pPr>
    </w:p>
    <w:p w:rsidR="008559EF" w:rsidRPr="004A768E" w:rsidRDefault="00412DE2" w:rsidP="007953BE">
      <w:pPr>
        <w:spacing w:before="0" w:beforeAutospacing="0" w:after="0" w:afterAutospacing="0"/>
        <w:ind w:firstLine="4962"/>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7953BE">
      <w:pPr>
        <w:pStyle w:val="ConsPlusNormal"/>
        <w:ind w:firstLine="4962"/>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7953BE">
      <w:pPr>
        <w:pStyle w:val="ConsPlusNormal"/>
        <w:ind w:firstLine="4962"/>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4A768E" w:rsidRDefault="004A768E" w:rsidP="007953BE">
      <w:pPr>
        <w:pStyle w:val="ConsPlusNormal"/>
        <w:ind w:firstLine="4962"/>
        <w:rPr>
          <w:rFonts w:asciiTheme="minorHAnsi" w:hAnsiTheme="minorHAnsi" w:cstheme="minorHAnsi"/>
          <w:sz w:val="24"/>
          <w:szCs w:val="24"/>
        </w:rPr>
      </w:pPr>
      <w:r w:rsidRPr="004A768E">
        <w:rPr>
          <w:rFonts w:asciiTheme="minorHAnsi" w:hAnsiTheme="minorHAnsi" w:cstheme="minorHAnsi"/>
          <w:sz w:val="24"/>
          <w:szCs w:val="24"/>
        </w:rPr>
        <w:t xml:space="preserve">на </w:t>
      </w:r>
      <w:r w:rsidR="00055FAD">
        <w:rPr>
          <w:rFonts w:asciiTheme="minorHAnsi" w:hAnsiTheme="minorHAnsi" w:cstheme="minorHAnsi"/>
          <w:sz w:val="24"/>
          <w:szCs w:val="24"/>
        </w:rPr>
        <w:t xml:space="preserve">выполнение </w:t>
      </w:r>
      <w:r w:rsidR="00FA2658">
        <w:rPr>
          <w:rFonts w:asciiTheme="minorHAnsi" w:hAnsiTheme="minorHAnsi" w:cstheme="minorHAnsi"/>
          <w:sz w:val="24"/>
          <w:szCs w:val="24"/>
        </w:rPr>
        <w:t xml:space="preserve">ремонтных работ по облицовке </w:t>
      </w:r>
    </w:p>
    <w:p w:rsidR="00FA2658" w:rsidRPr="004A768E" w:rsidRDefault="00FA2658" w:rsidP="007953BE">
      <w:pPr>
        <w:pStyle w:val="ConsPlusNormal"/>
        <w:ind w:firstLine="4962"/>
        <w:rPr>
          <w:rFonts w:asciiTheme="minorHAnsi" w:hAnsiTheme="minorHAnsi" w:cstheme="minorHAnsi"/>
          <w:sz w:val="24"/>
          <w:szCs w:val="24"/>
        </w:rPr>
      </w:pPr>
      <w:r>
        <w:rPr>
          <w:rFonts w:asciiTheme="minorHAnsi" w:hAnsiTheme="minorHAnsi" w:cstheme="minorHAnsi"/>
          <w:sz w:val="24"/>
          <w:szCs w:val="24"/>
        </w:rPr>
        <w:t xml:space="preserve">пола </w:t>
      </w:r>
      <w:r w:rsidR="007953BE">
        <w:rPr>
          <w:rFonts w:asciiTheme="minorHAnsi" w:hAnsiTheme="minorHAnsi" w:cstheme="minorHAnsi"/>
          <w:sz w:val="24"/>
          <w:szCs w:val="24"/>
        </w:rPr>
        <w:t>коридоров 3 этажа строения № 2 ИПУ РАН</w:t>
      </w:r>
    </w:p>
    <w:p w:rsidR="00DF0FF3" w:rsidRDefault="00DF0FF3" w:rsidP="00FA2658">
      <w:pPr>
        <w:spacing w:before="0" w:beforeAutospacing="0" w:after="0" w:afterAutospacing="0"/>
        <w:ind w:firstLine="5103"/>
        <w:rPr>
          <w:rFonts w:hAnsi="Times New Roman" w:cs="Times New Roman"/>
          <w:bCs/>
          <w:color w:val="000000"/>
          <w:sz w:val="24"/>
          <w:szCs w:val="24"/>
          <w:lang w:val="ru-RU"/>
        </w:rPr>
      </w:pPr>
    </w:p>
    <w:p w:rsidR="00875D32" w:rsidRDefault="00875D32" w:rsidP="00875D32">
      <w:pPr>
        <w:spacing w:before="0" w:beforeAutospacing="0" w:after="0" w:afterAutospacing="0"/>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4A768E" w:rsidRDefault="004A768E" w:rsidP="007953BE">
      <w:pPr>
        <w:spacing w:before="0" w:beforeAutospacing="0" w:after="0" w:afterAutospacing="0"/>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 xml:space="preserve">к Извещению об осуществлении закупки при проведении электронного аукциона </w:t>
      </w:r>
      <w:r w:rsidR="00302FA0" w:rsidRPr="00302FA0">
        <w:rPr>
          <w:rFonts w:hAnsi="Times New Roman" w:cs="Times New Roman"/>
          <w:b/>
          <w:bCs/>
          <w:color w:val="000000"/>
          <w:sz w:val="24"/>
          <w:szCs w:val="24"/>
          <w:lang w:val="ru-RU"/>
        </w:rPr>
        <w:t>на</w:t>
      </w:r>
    </w:p>
    <w:p w:rsidR="007953BE" w:rsidRDefault="00055FAD" w:rsidP="007953BE">
      <w:pPr>
        <w:spacing w:before="0" w:beforeAutospacing="0" w:after="0" w:afterAutospacing="0"/>
        <w:jc w:val="center"/>
        <w:rPr>
          <w:rFonts w:hAnsi="Times New Roman" w:cs="Times New Roman"/>
          <w:b/>
          <w:bCs/>
          <w:color w:val="000000"/>
          <w:sz w:val="24"/>
          <w:szCs w:val="24"/>
          <w:lang w:val="ru-RU"/>
        </w:rPr>
      </w:pPr>
      <w:r w:rsidRPr="00055FAD">
        <w:rPr>
          <w:rFonts w:hAnsi="Times New Roman" w:cs="Times New Roman"/>
          <w:b/>
          <w:bCs/>
          <w:color w:val="000000"/>
          <w:sz w:val="24"/>
          <w:szCs w:val="24"/>
          <w:lang w:val="ru-RU"/>
        </w:rPr>
        <w:t xml:space="preserve">выполнение </w:t>
      </w:r>
      <w:r w:rsidR="00FA2658" w:rsidRPr="00FA2658">
        <w:rPr>
          <w:rFonts w:hAnsi="Times New Roman" w:cs="Times New Roman"/>
          <w:b/>
          <w:bCs/>
          <w:color w:val="000000"/>
          <w:sz w:val="24"/>
          <w:szCs w:val="24"/>
          <w:lang w:val="ru-RU"/>
        </w:rPr>
        <w:t xml:space="preserve">ремонтных работ по облицовке пола </w:t>
      </w:r>
      <w:r w:rsidR="007953BE" w:rsidRPr="007953BE">
        <w:rPr>
          <w:rFonts w:hAnsi="Times New Roman" w:cs="Times New Roman"/>
          <w:b/>
          <w:bCs/>
          <w:color w:val="000000"/>
          <w:sz w:val="24"/>
          <w:szCs w:val="24"/>
          <w:lang w:val="ru-RU"/>
        </w:rPr>
        <w:t xml:space="preserve">коридоров 3 этажа строения № 2 </w:t>
      </w:r>
    </w:p>
    <w:p w:rsidR="00055FAD" w:rsidRPr="00055FAD" w:rsidRDefault="007953BE" w:rsidP="007953BE">
      <w:pPr>
        <w:spacing w:before="0" w:beforeAutospacing="0" w:after="0" w:afterAutospacing="0"/>
        <w:jc w:val="center"/>
        <w:rPr>
          <w:rFonts w:hAnsi="Times New Roman" w:cs="Times New Roman"/>
          <w:b/>
          <w:bCs/>
          <w:color w:val="000000"/>
          <w:sz w:val="24"/>
          <w:szCs w:val="24"/>
          <w:lang w:val="ru-RU"/>
        </w:rPr>
      </w:pPr>
      <w:r w:rsidRPr="007953BE">
        <w:rPr>
          <w:rFonts w:hAnsi="Times New Roman" w:cs="Times New Roman"/>
          <w:b/>
          <w:bCs/>
          <w:color w:val="000000"/>
          <w:sz w:val="24"/>
          <w:szCs w:val="24"/>
          <w:lang w:val="ru-RU"/>
        </w:rPr>
        <w:t>ИПУ РАН</w:t>
      </w:r>
    </w:p>
    <w:p w:rsidR="00302FA0" w:rsidRPr="004A768E" w:rsidRDefault="00302FA0" w:rsidP="00055FAD">
      <w:pPr>
        <w:spacing w:before="0" w:beforeAutospacing="0" w:after="0" w:afterAutospacing="0"/>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321FB9"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E71FD4"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Размер обеспечения заявки на участие в закупке </w:t>
            </w:r>
            <w:r w:rsidRPr="00321FB9">
              <w:rPr>
                <w:rFonts w:hAnsi="Times New Roman" w:cs="Times New Roman"/>
                <w:b/>
                <w:color w:val="000000"/>
                <w:sz w:val="24"/>
                <w:szCs w:val="24"/>
                <w:lang w:val="ru-RU"/>
              </w:rPr>
              <w:t>1 % от начальной (максимальной) цены контракта</w:t>
            </w:r>
            <w:r w:rsidRPr="00321FB9">
              <w:rPr>
                <w:rFonts w:hAnsi="Times New Roman" w:cs="Times New Roman"/>
                <w:color w:val="000000"/>
                <w:sz w:val="24"/>
                <w:szCs w:val="24"/>
                <w:lang w:val="ru-RU"/>
              </w:rPr>
              <w:t>, что составляет</w:t>
            </w:r>
          </w:p>
          <w:p w:rsidR="00321FB9" w:rsidRDefault="007953BE" w:rsidP="00321FB9">
            <w:pPr>
              <w:spacing w:before="0" w:beforeAutospacing="0" w:after="0" w:afterAutospacing="0"/>
              <w:jc w:val="both"/>
              <w:rPr>
                <w:rFonts w:hAnsi="Times New Roman" w:cs="Times New Roman"/>
                <w:color w:val="000000"/>
                <w:sz w:val="24"/>
                <w:szCs w:val="24"/>
                <w:lang w:val="ru-RU"/>
              </w:rPr>
            </w:pPr>
            <w:r>
              <w:rPr>
                <w:rFonts w:hAnsi="Times New Roman" w:cs="Times New Roman"/>
                <w:b/>
                <w:color w:val="000000"/>
                <w:sz w:val="24"/>
                <w:szCs w:val="24"/>
                <w:lang w:val="ru-RU"/>
              </w:rPr>
              <w:t>18 449</w:t>
            </w:r>
            <w:r w:rsidR="00E71FD4" w:rsidRPr="00E71FD4">
              <w:rPr>
                <w:rFonts w:hAnsi="Times New Roman" w:cs="Times New Roman"/>
                <w:b/>
                <w:color w:val="000000"/>
                <w:sz w:val="24"/>
                <w:szCs w:val="24"/>
                <w:lang w:val="ru-RU"/>
              </w:rPr>
              <w:t xml:space="preserve"> </w:t>
            </w:r>
            <w:r w:rsidR="00E71FD4" w:rsidRPr="00E71FD4">
              <w:rPr>
                <w:rFonts w:hAnsi="Times New Roman" w:cs="Times New Roman"/>
                <w:color w:val="000000"/>
                <w:sz w:val="24"/>
                <w:szCs w:val="24"/>
                <w:lang w:val="ru-RU"/>
              </w:rPr>
              <w:t>(</w:t>
            </w:r>
            <w:r>
              <w:rPr>
                <w:rFonts w:hAnsi="Times New Roman" w:cs="Times New Roman"/>
                <w:color w:val="000000"/>
                <w:sz w:val="24"/>
                <w:szCs w:val="24"/>
                <w:lang w:val="ru-RU"/>
              </w:rPr>
              <w:t>Восемнадцать тысяч четыреста сорок девять</w:t>
            </w:r>
            <w:r w:rsidR="00E71FD4" w:rsidRPr="00E71FD4">
              <w:rPr>
                <w:rFonts w:hAnsi="Times New Roman" w:cs="Times New Roman"/>
                <w:color w:val="000000"/>
                <w:sz w:val="24"/>
                <w:szCs w:val="24"/>
                <w:lang w:val="ru-RU"/>
              </w:rPr>
              <w:t>)</w:t>
            </w:r>
            <w:r w:rsidR="00E71FD4" w:rsidRPr="00E71FD4">
              <w:rPr>
                <w:rFonts w:hAnsi="Times New Roman" w:cs="Times New Roman"/>
                <w:b/>
                <w:color w:val="000000"/>
                <w:sz w:val="24"/>
                <w:szCs w:val="24"/>
                <w:lang w:val="ru-RU"/>
              </w:rPr>
              <w:t xml:space="preserve"> рубл</w:t>
            </w:r>
            <w:r>
              <w:rPr>
                <w:rFonts w:hAnsi="Times New Roman" w:cs="Times New Roman"/>
                <w:b/>
                <w:color w:val="000000"/>
                <w:sz w:val="24"/>
                <w:szCs w:val="24"/>
                <w:lang w:val="ru-RU"/>
              </w:rPr>
              <w:t>ей</w:t>
            </w:r>
            <w:r w:rsidR="00E71FD4" w:rsidRPr="00E71FD4">
              <w:rPr>
                <w:rFonts w:hAnsi="Times New Roman" w:cs="Times New Roman"/>
                <w:b/>
                <w:color w:val="000000"/>
                <w:sz w:val="24"/>
                <w:szCs w:val="24"/>
                <w:lang w:val="ru-RU"/>
              </w:rPr>
              <w:t xml:space="preserve"> </w:t>
            </w:r>
            <w:r>
              <w:rPr>
                <w:rFonts w:hAnsi="Times New Roman" w:cs="Times New Roman"/>
                <w:b/>
                <w:color w:val="000000"/>
                <w:sz w:val="24"/>
                <w:szCs w:val="24"/>
                <w:lang w:val="ru-RU"/>
              </w:rPr>
              <w:t>92</w:t>
            </w:r>
            <w:r w:rsidR="00E71FD4" w:rsidRPr="00E71FD4">
              <w:rPr>
                <w:rFonts w:hAnsi="Times New Roman" w:cs="Times New Roman"/>
                <w:b/>
                <w:color w:val="000000"/>
                <w:sz w:val="24"/>
                <w:szCs w:val="24"/>
                <w:lang w:val="ru-RU"/>
              </w:rPr>
              <w:t xml:space="preserve"> </w:t>
            </w:r>
            <w:r w:rsidR="00B43238">
              <w:rPr>
                <w:rFonts w:hAnsi="Times New Roman" w:cs="Times New Roman"/>
                <w:b/>
                <w:color w:val="000000"/>
                <w:sz w:val="24"/>
                <w:szCs w:val="24"/>
                <w:lang w:val="ru-RU"/>
              </w:rPr>
              <w:t>копейк</w:t>
            </w:r>
            <w:r>
              <w:rPr>
                <w:rFonts w:hAnsi="Times New Roman" w:cs="Times New Roman"/>
                <w:b/>
                <w:color w:val="000000"/>
                <w:sz w:val="24"/>
                <w:szCs w:val="24"/>
                <w:lang w:val="ru-RU"/>
              </w:rPr>
              <w:t>и</w:t>
            </w:r>
            <w:r w:rsidR="00321FB9" w:rsidRPr="00321FB9">
              <w:rPr>
                <w:rFonts w:hAnsi="Times New Roman" w:cs="Times New Roman"/>
                <w:color w:val="000000"/>
                <w:sz w:val="24"/>
                <w:szCs w:val="24"/>
                <w:lang w:val="ru-RU"/>
              </w:rPr>
              <w:t>. НДС не облагается.</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Порядок внесения денежных средств:</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В случае предоставления обеспечения заявки на участие в закупке в виде денежных средств:</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в) банк не позднее сорока минут с момента получения заявки на участие в закупке, поданной до окончания срока подачи заявок на участие в закупке,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w:t>
            </w:r>
            <w:r w:rsidRPr="00321FB9">
              <w:rPr>
                <w:rFonts w:hAnsi="Times New Roman" w:cs="Times New Roman"/>
                <w:color w:val="000000"/>
                <w:sz w:val="24"/>
                <w:szCs w:val="24"/>
                <w:lang w:val="ru-RU"/>
              </w:rPr>
              <w:lastRenderedPageBreak/>
              <w:t>подпунктом</w:t>
            </w:r>
            <w:r w:rsidR="00F44F2B">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е</w:t>
            </w:r>
            <w:r w:rsidR="00F44F2B">
              <w:rPr>
                <w:rFonts w:hAnsi="Times New Roman" w:cs="Times New Roman"/>
                <w:color w:val="000000"/>
                <w:sz w:val="24"/>
                <w:szCs w:val="24"/>
                <w:lang w:val="ru-RU"/>
              </w:rPr>
              <w:t>»</w:t>
            </w:r>
            <w:r w:rsidRPr="00321FB9">
              <w:rPr>
                <w:rFonts w:hAnsi="Times New Roman" w:cs="Times New Roman"/>
                <w:color w:val="000000"/>
                <w:sz w:val="24"/>
                <w:szCs w:val="24"/>
                <w:lang w:val="ru-RU"/>
              </w:rPr>
              <w:t xml:space="preserve"> пункта 5 части 6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возврат заявки подавшему ее участнику закупки.</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Денежные средства, предназначенные для обеспечения заявок, вносят на банковский счет, открытый в банке, включенном в перечень, утвержденным распоряжением Правительства Российской Федерации от 13.07.2018 № 1451-р.</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банкам, установлено </w:t>
            </w:r>
            <w:r w:rsidR="004C3179">
              <w:rPr>
                <w:rFonts w:hAnsi="Times New Roman" w:cs="Times New Roman"/>
                <w:color w:val="000000"/>
                <w:sz w:val="24"/>
                <w:szCs w:val="24"/>
                <w:lang w:val="ru-RU"/>
              </w:rPr>
              <w:t>п</w:t>
            </w:r>
            <w:r w:rsidRPr="00321FB9">
              <w:rPr>
                <w:rFonts w:hAnsi="Times New Roman" w:cs="Times New Roman"/>
                <w:color w:val="000000"/>
                <w:sz w:val="24"/>
                <w:szCs w:val="24"/>
                <w:lang w:val="ru-RU"/>
              </w:rPr>
              <w:t>остановлением Правительства РФ от 20.12.2021 №</w:t>
            </w:r>
            <w:r w:rsidR="004C3179">
              <w:rPr>
                <w:rFonts w:hAnsi="Times New Roman" w:cs="Times New Roman"/>
                <w:color w:val="000000"/>
                <w:sz w:val="24"/>
                <w:szCs w:val="24"/>
                <w:lang w:val="ru-RU"/>
              </w:rPr>
              <w:t xml:space="preserve"> 2369 «</w:t>
            </w:r>
            <w:r w:rsidR="004C3179" w:rsidRPr="004C3179">
              <w:rPr>
                <w:rFonts w:hAnsi="Times New Roman" w:cs="Times New Roman"/>
                <w:color w:val="000000"/>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w:t>
            </w:r>
            <w:r w:rsidR="004C3179">
              <w:rPr>
                <w:rFonts w:hAnsi="Times New Roman" w:cs="Times New Roman"/>
                <w:color w:val="000000"/>
                <w:sz w:val="24"/>
                <w:szCs w:val="24"/>
                <w:lang w:val="ru-RU"/>
              </w:rPr>
              <w:t>Федерации».</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4C317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договору специального счета, к порядку использования имеющегося у участника закупки банковского счета в качестве специального счета установлено </w:t>
            </w:r>
            <w:r w:rsidR="004C3179">
              <w:rPr>
                <w:rFonts w:hAnsi="Times New Roman" w:cs="Times New Roman"/>
                <w:color w:val="000000"/>
                <w:sz w:val="24"/>
                <w:szCs w:val="24"/>
                <w:lang w:val="ru-RU"/>
              </w:rPr>
              <w:t>п</w:t>
            </w:r>
            <w:r w:rsidRPr="00321FB9">
              <w:rPr>
                <w:rFonts w:hAnsi="Times New Roman" w:cs="Times New Roman"/>
                <w:color w:val="000000"/>
                <w:sz w:val="24"/>
                <w:szCs w:val="24"/>
                <w:lang w:val="ru-RU"/>
              </w:rPr>
              <w:t>остановлением Правительства Российской Федерации от 30.05.2018 №</w:t>
            </w:r>
            <w:r w:rsidR="004C3179">
              <w:rPr>
                <w:rFonts w:hAnsi="Times New Roman" w:cs="Times New Roman"/>
                <w:color w:val="000000"/>
                <w:sz w:val="24"/>
                <w:szCs w:val="24"/>
                <w:lang w:val="ru-RU"/>
              </w:rPr>
              <w:t xml:space="preserve"> 626 «О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Условия независимой гарантии:</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Оператор электронной площадки возвращает заявку подавшему ее участнику закупки в соответствии с подпунктом</w:t>
            </w:r>
            <w:r w:rsidR="00F44F2B">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ж</w:t>
            </w:r>
            <w:r w:rsidR="00F44F2B">
              <w:rPr>
                <w:rFonts w:hAnsi="Times New Roman" w:cs="Times New Roman"/>
                <w:color w:val="000000"/>
                <w:sz w:val="24"/>
                <w:szCs w:val="24"/>
                <w:lang w:val="ru-RU"/>
              </w:rPr>
              <w:t>»</w:t>
            </w:r>
            <w:r w:rsidRPr="00321FB9">
              <w:rPr>
                <w:rFonts w:hAnsi="Times New Roman" w:cs="Times New Roman"/>
                <w:color w:val="000000"/>
                <w:sz w:val="24"/>
                <w:szCs w:val="24"/>
                <w:lang w:val="ru-RU"/>
              </w:rPr>
              <w:t xml:space="preserve"> пункта 5 части 6 статьи 43 Федерального закона № 44-ФЗ.</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При выборе участником закупки в качестве способа обеспечения заявок предоставление независимой гарантии, следует учитывать, что Заказчик принимает независимые гарантии, выданные:</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1) банками, соответствующими требованиям, установленным Правительством Российской Федерации, и включенными в </w:t>
            </w:r>
            <w:r w:rsidRPr="00321FB9">
              <w:rPr>
                <w:rFonts w:hAnsi="Times New Roman" w:cs="Times New Roman"/>
                <w:color w:val="000000"/>
                <w:sz w:val="24"/>
                <w:szCs w:val="24"/>
                <w:lang w:val="ru-RU"/>
              </w:rPr>
              <w:lastRenderedPageBreak/>
              <w:t>перечень, предусмотренный частью 1.2 статьи 45 Федерального закона № 44-ФЗ;</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2) государственной корпорацией развития</w:t>
            </w:r>
            <w:r w:rsidR="00F44F2B">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ВЭБ.РФ</w:t>
            </w:r>
            <w:r w:rsidR="00F44F2B">
              <w:rPr>
                <w:rFonts w:hAnsi="Times New Roman" w:cs="Times New Roman"/>
                <w:color w:val="000000"/>
                <w:sz w:val="24"/>
                <w:szCs w:val="24"/>
                <w:lang w:val="ru-RU"/>
              </w:rPr>
              <w:t>»</w:t>
            </w:r>
            <w:r w:rsidRPr="00321FB9">
              <w:rPr>
                <w:rFonts w:hAnsi="Times New Roman" w:cs="Times New Roman"/>
                <w:color w:val="000000"/>
                <w:sz w:val="24"/>
                <w:szCs w:val="24"/>
                <w:lang w:val="ru-RU"/>
              </w:rPr>
              <w:t>;</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Независимая гарантия, выданная участнику закупки банком для целей обеспечения заявки, должна соответствовать условиям, определенных гражданским законодательством, статьями 44 </w:t>
            </w:r>
            <w:r w:rsidR="004C3179">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 xml:space="preserve">и 45 Федерального закона № 44-ФЗ и постановлению Правительства Российской Федерации от 8 ноября 2013 г. </w:t>
            </w:r>
            <w:r w:rsidR="004C3179">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 xml:space="preserve">№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w:t>
            </w:r>
            <w:r w:rsidR="004C3179">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и муниципальных нужд».</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В соответствии с частью 8 статьи 45 Федерального закона </w:t>
            </w:r>
            <w:r w:rsidR="004C3179">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 44-ФЗ независимая гарантия, информация о ней и документы, предусмотренные частью 9 статьи 45 Федерального закона №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 44-ФЗ.</w:t>
            </w:r>
          </w:p>
          <w:p w:rsidR="00321FB9" w:rsidRDefault="00321FB9" w:rsidP="00321FB9">
            <w:pPr>
              <w:spacing w:before="0" w:beforeAutospacing="0" w:after="0" w:afterAutospacing="0"/>
              <w:jc w:val="both"/>
              <w:rPr>
                <w:rFonts w:hAnsi="Times New Roman" w:cs="Times New Roman"/>
                <w:color w:val="000000"/>
                <w:sz w:val="24"/>
                <w:szCs w:val="24"/>
                <w:lang w:val="ru-RU"/>
              </w:rPr>
            </w:pPr>
          </w:p>
          <w:p w:rsidR="00713595" w:rsidRPr="00B5467D" w:rsidRDefault="00713595" w:rsidP="00713595">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В со</w:t>
            </w:r>
            <w:r w:rsidR="00FC351A">
              <w:rPr>
                <w:rFonts w:ascii="Times New Roman" w:eastAsia="Calibri" w:hAnsi="Times New Roman" w:cs="Times New Roman"/>
                <w:iCs/>
                <w:sz w:val="24"/>
                <w:szCs w:val="24"/>
                <w:lang w:val="ru-RU"/>
              </w:rPr>
              <w:t xml:space="preserve">ответствии с частью 2 </w:t>
            </w:r>
            <w:r w:rsidRPr="004C6497">
              <w:rPr>
                <w:rFonts w:ascii="Times New Roman" w:eastAsia="Calibri" w:hAnsi="Times New Roman" w:cs="Times New Roman"/>
                <w:iCs/>
                <w:sz w:val="24"/>
                <w:szCs w:val="24"/>
                <w:lang w:val="ru-RU"/>
              </w:rPr>
              <w:t xml:space="preserve">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713595" w:rsidRPr="0065679D" w:rsidRDefault="00713595" w:rsidP="007135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8"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713595" w:rsidRPr="00B5467D" w:rsidRDefault="00713595" w:rsidP="007135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713595" w:rsidRPr="00B5467D" w:rsidRDefault="00713595" w:rsidP="007135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713595" w:rsidRPr="00B5467D" w:rsidRDefault="00713595" w:rsidP="007135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713595" w:rsidRPr="00B5467D" w:rsidRDefault="00713595" w:rsidP="007135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713595" w:rsidRPr="00173806" w:rsidRDefault="00713595" w:rsidP="007135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713595" w:rsidRPr="00B5467D" w:rsidRDefault="00713595" w:rsidP="00713595">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FC351A" w:rsidRPr="00FC351A" w:rsidRDefault="00FC351A" w:rsidP="00FC351A">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FC351A">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1005 </w:t>
            </w:r>
          </w:p>
          <w:p w:rsidR="00713595" w:rsidRDefault="00FC351A" w:rsidP="00FC351A">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FC351A">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DD42FD" w:rsidRPr="00DD42FD" w:rsidRDefault="00DD42FD" w:rsidP="00DD42FD">
            <w:pPr>
              <w:spacing w:after="0"/>
              <w:jc w:val="both"/>
              <w:rPr>
                <w:b/>
                <w:sz w:val="24"/>
                <w:szCs w:val="24"/>
                <w:lang w:val="ru-RU"/>
              </w:rPr>
            </w:pPr>
            <w:r w:rsidRPr="00DD42FD">
              <w:rPr>
                <w:b/>
                <w:sz w:val="24"/>
                <w:szCs w:val="24"/>
                <w:lang w:val="ru-RU"/>
              </w:rPr>
              <w:t>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w:t>
            </w:r>
            <w:r w:rsidR="00F44F2B">
              <w:rPr>
                <w:b/>
                <w:sz w:val="24"/>
                <w:szCs w:val="24"/>
                <w:lang w:val="ru-RU"/>
              </w:rPr>
              <w:t xml:space="preserve">оссийской </w:t>
            </w:r>
            <w:r w:rsidRPr="00DD42FD">
              <w:rPr>
                <w:b/>
                <w:sz w:val="24"/>
                <w:szCs w:val="24"/>
                <w:lang w:val="ru-RU"/>
              </w:rPr>
              <w:t>Ф</w:t>
            </w:r>
            <w:r w:rsidR="00F44F2B">
              <w:rPr>
                <w:b/>
                <w:sz w:val="24"/>
                <w:szCs w:val="24"/>
                <w:lang w:val="ru-RU"/>
              </w:rPr>
              <w:t>едерации</w:t>
            </w:r>
            <w:r w:rsidRPr="00DD42FD">
              <w:rPr>
                <w:b/>
                <w:sz w:val="24"/>
                <w:szCs w:val="24"/>
                <w:lang w:val="ru-RU"/>
              </w:rPr>
              <w:t>, или физическими лицами, являющимися гражданами государства - члена Евразийского экономического союза, за исключением Р</w:t>
            </w:r>
            <w:r w:rsidR="00F44F2B">
              <w:rPr>
                <w:b/>
                <w:sz w:val="24"/>
                <w:szCs w:val="24"/>
                <w:lang w:val="ru-RU"/>
              </w:rPr>
              <w:t xml:space="preserve">оссийской </w:t>
            </w:r>
            <w:r w:rsidRPr="00DD42FD">
              <w:rPr>
                <w:b/>
                <w:sz w:val="24"/>
                <w:szCs w:val="24"/>
                <w:lang w:val="ru-RU"/>
              </w:rPr>
              <w:t>Ф</w:t>
            </w:r>
            <w:r w:rsidR="00F44F2B">
              <w:rPr>
                <w:b/>
                <w:sz w:val="24"/>
                <w:szCs w:val="24"/>
                <w:lang w:val="ru-RU"/>
              </w:rPr>
              <w:t>едерации</w:t>
            </w:r>
            <w:r w:rsidRPr="00DD42FD">
              <w:rPr>
                <w:b/>
                <w:sz w:val="24"/>
                <w:szCs w:val="24"/>
                <w:lang w:val="ru-RU"/>
              </w:rPr>
              <w:t xml:space="preserve"> (далее - участники закупки ЕАЭС), вправе предоставить обеспечение заявок в виде денежных средств с учетом следующих особенностей:</w:t>
            </w:r>
          </w:p>
          <w:p w:rsidR="00DD42FD" w:rsidRPr="00DD42FD" w:rsidRDefault="00DD42FD" w:rsidP="00DD42FD">
            <w:pPr>
              <w:spacing w:after="0"/>
              <w:jc w:val="both"/>
              <w:rPr>
                <w:sz w:val="24"/>
                <w:szCs w:val="24"/>
                <w:lang w:val="ru-RU"/>
              </w:rPr>
            </w:pPr>
            <w:r w:rsidRPr="00DD42FD">
              <w:rPr>
                <w:sz w:val="24"/>
                <w:szCs w:val="24"/>
                <w:lang w:val="ru-RU"/>
              </w:rPr>
              <w:t>а) денежные средства вносятся участниками закупки ЕАЭС на счет, указанный заказчиком в извещении об осуществлении закупки, на котором в соответствии с законодательством Р</w:t>
            </w:r>
            <w:r w:rsidR="00F44F2B">
              <w:rPr>
                <w:sz w:val="24"/>
                <w:szCs w:val="24"/>
                <w:lang w:val="ru-RU"/>
              </w:rPr>
              <w:t xml:space="preserve">оссийской </w:t>
            </w:r>
            <w:r w:rsidRPr="00DD42FD">
              <w:rPr>
                <w:sz w:val="24"/>
                <w:szCs w:val="24"/>
                <w:lang w:val="ru-RU"/>
              </w:rPr>
              <w:t>Ф</w:t>
            </w:r>
            <w:r w:rsidR="00F44F2B">
              <w:rPr>
                <w:sz w:val="24"/>
                <w:szCs w:val="24"/>
                <w:lang w:val="ru-RU"/>
              </w:rPr>
              <w:t>едерации</w:t>
            </w:r>
            <w:r w:rsidRPr="00DD42FD">
              <w:rPr>
                <w:sz w:val="24"/>
                <w:szCs w:val="24"/>
                <w:lang w:val="ru-RU"/>
              </w:rPr>
              <w:t xml:space="preserve"> учитываются операции со средствами, поступающими заказчику;</w:t>
            </w:r>
          </w:p>
          <w:p w:rsidR="00DD42FD" w:rsidRPr="00DD42FD" w:rsidRDefault="00DD42FD" w:rsidP="00DD42FD">
            <w:pPr>
              <w:spacing w:after="0"/>
              <w:jc w:val="both"/>
              <w:rPr>
                <w:sz w:val="24"/>
                <w:szCs w:val="24"/>
                <w:lang w:val="ru-RU"/>
              </w:rPr>
            </w:pPr>
            <w:r w:rsidRPr="00DD42FD">
              <w:rPr>
                <w:sz w:val="24"/>
                <w:szCs w:val="24"/>
                <w:lang w:val="ru-RU"/>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DD42FD" w:rsidRPr="00DD42FD" w:rsidRDefault="00DD42FD" w:rsidP="00DD42FD">
            <w:pPr>
              <w:spacing w:after="0"/>
              <w:jc w:val="both"/>
              <w:rPr>
                <w:sz w:val="24"/>
                <w:szCs w:val="24"/>
                <w:lang w:val="ru-RU"/>
              </w:rPr>
            </w:pPr>
            <w:r w:rsidRPr="00DD42FD">
              <w:rPr>
                <w:sz w:val="24"/>
                <w:szCs w:val="24"/>
                <w:lang w:val="ru-RU"/>
              </w:rPr>
              <w:t xml:space="preserve">в) участник закупки ЕАЭС признается </w:t>
            </w:r>
            <w:proofErr w:type="spellStart"/>
            <w:r w:rsidRPr="00DD42FD">
              <w:rPr>
                <w:sz w:val="24"/>
                <w:szCs w:val="24"/>
                <w:lang w:val="ru-RU"/>
              </w:rPr>
              <w:t>непредоставившим</w:t>
            </w:r>
            <w:proofErr w:type="spellEnd"/>
            <w:r w:rsidRPr="00DD42FD">
              <w:rPr>
                <w:sz w:val="24"/>
                <w:szCs w:val="24"/>
                <w:lang w:val="ru-RU"/>
              </w:rPr>
              <w:t xml:space="preserve"> обеспечение заявки на участие в закупке в случае </w:t>
            </w:r>
            <w:proofErr w:type="spellStart"/>
            <w:r w:rsidRPr="00DD42FD">
              <w:rPr>
                <w:sz w:val="24"/>
                <w:szCs w:val="24"/>
                <w:lang w:val="ru-RU"/>
              </w:rPr>
              <w:t>непоступления</w:t>
            </w:r>
            <w:proofErr w:type="spellEnd"/>
            <w:r w:rsidRPr="00DD42FD">
              <w:rPr>
                <w:sz w:val="24"/>
                <w:szCs w:val="24"/>
                <w:lang w:val="ru-RU"/>
              </w:rPr>
              <w:t xml:space="preserve">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указанный заказчиком в извещении об осуществлении закупки, на котором в соответствии с законодательством Р</w:t>
            </w:r>
            <w:r w:rsidR="00F44F2B">
              <w:rPr>
                <w:sz w:val="24"/>
                <w:szCs w:val="24"/>
                <w:lang w:val="ru-RU"/>
              </w:rPr>
              <w:t xml:space="preserve">оссийской </w:t>
            </w:r>
            <w:r w:rsidRPr="00DD42FD">
              <w:rPr>
                <w:sz w:val="24"/>
                <w:szCs w:val="24"/>
                <w:lang w:val="ru-RU"/>
              </w:rPr>
              <w:t>Ф</w:t>
            </w:r>
            <w:r w:rsidR="00F44F2B">
              <w:rPr>
                <w:sz w:val="24"/>
                <w:szCs w:val="24"/>
                <w:lang w:val="ru-RU"/>
              </w:rPr>
              <w:t>едерации</w:t>
            </w:r>
            <w:r w:rsidRPr="00DD42FD">
              <w:rPr>
                <w:sz w:val="24"/>
                <w:szCs w:val="24"/>
                <w:lang w:val="ru-RU"/>
              </w:rPr>
              <w:t xml:space="preserve"> учитываются операции со средствами, поступающими заказчику. При этом заявка на участие в закупке, поданная таким участником закупки ЕАЭС, отклоняется в порядке, установленном для случая, предусмотренного пунктом 7 части 12 статьи 48 </w:t>
            </w:r>
            <w:r>
              <w:rPr>
                <w:sz w:val="24"/>
                <w:szCs w:val="24"/>
                <w:lang w:val="ru-RU"/>
              </w:rPr>
              <w:t xml:space="preserve">Федерального </w:t>
            </w:r>
            <w:r w:rsidRPr="00DD42FD">
              <w:rPr>
                <w:sz w:val="24"/>
                <w:szCs w:val="24"/>
                <w:lang w:val="ru-RU"/>
              </w:rPr>
              <w:t>Закона</w:t>
            </w:r>
            <w:r>
              <w:rPr>
                <w:sz w:val="24"/>
                <w:szCs w:val="24"/>
                <w:lang w:val="ru-RU"/>
              </w:rPr>
              <w:t xml:space="preserve"> </w:t>
            </w:r>
            <w:r w:rsidRPr="00DD42FD">
              <w:rPr>
                <w:sz w:val="24"/>
                <w:szCs w:val="24"/>
                <w:lang w:val="ru-RU"/>
              </w:rPr>
              <w:t>№</w:t>
            </w:r>
            <w:r w:rsidR="00F44F2B">
              <w:rPr>
                <w:sz w:val="24"/>
                <w:szCs w:val="24"/>
                <w:lang w:val="ru-RU"/>
              </w:rPr>
              <w:t xml:space="preserve"> </w:t>
            </w:r>
            <w:r w:rsidRPr="00DD42FD">
              <w:rPr>
                <w:sz w:val="24"/>
                <w:szCs w:val="24"/>
                <w:lang w:val="ru-RU"/>
              </w:rPr>
              <w:t>44-ФЗ;</w:t>
            </w:r>
          </w:p>
          <w:p w:rsidR="00DD42FD" w:rsidRPr="00DD42FD" w:rsidRDefault="00DD42FD" w:rsidP="00DD42FD">
            <w:pPr>
              <w:spacing w:before="0" w:beforeAutospacing="0" w:after="0" w:afterAutospacing="0"/>
              <w:jc w:val="both"/>
              <w:rPr>
                <w:rFonts w:ascii="Times New Roman" w:eastAsia="Calibri" w:hAnsi="Times New Roman" w:cs="Times New Roman"/>
                <w:sz w:val="24"/>
                <w:szCs w:val="24"/>
                <w:lang w:val="ru-RU"/>
              </w:rPr>
            </w:pPr>
            <w:r w:rsidRPr="00DD42FD">
              <w:rPr>
                <w:sz w:val="24"/>
                <w:szCs w:val="24"/>
                <w:lang w:val="ru-RU"/>
              </w:rPr>
              <w:t>г) заказчик возвращает денежные средства, внесенные в качестве обеспечения заявки на участие в закупке, не позднее 5</w:t>
            </w:r>
            <w:r w:rsidR="00F44F2B">
              <w:rPr>
                <w:sz w:val="24"/>
                <w:szCs w:val="24"/>
                <w:lang w:val="ru-RU"/>
              </w:rPr>
              <w:t xml:space="preserve"> (пяти)</w:t>
            </w:r>
            <w:r w:rsidRPr="00DD42FD">
              <w:rPr>
                <w:sz w:val="24"/>
                <w:szCs w:val="24"/>
                <w:lang w:val="ru-RU"/>
              </w:rPr>
              <w:t xml:space="preserve"> рабочих дней со дня, следующего за днем наступления случаев, предусмотренных пунктами 1 - 6 части 10 статьи 44 </w:t>
            </w:r>
            <w:r>
              <w:rPr>
                <w:sz w:val="24"/>
                <w:szCs w:val="24"/>
                <w:lang w:val="ru-RU"/>
              </w:rPr>
              <w:t xml:space="preserve">Федерального </w:t>
            </w:r>
            <w:r w:rsidRPr="00DD42FD">
              <w:rPr>
                <w:sz w:val="24"/>
                <w:szCs w:val="24"/>
                <w:lang w:val="ru-RU"/>
              </w:rPr>
              <w:t>Закона №</w:t>
            </w:r>
            <w:r>
              <w:rPr>
                <w:sz w:val="24"/>
                <w:szCs w:val="24"/>
                <w:lang w:val="ru-RU"/>
              </w:rPr>
              <w:t xml:space="preserve"> </w:t>
            </w:r>
            <w:r w:rsidRPr="00DD42FD">
              <w:rPr>
                <w:sz w:val="24"/>
                <w:szCs w:val="24"/>
                <w:lang w:val="ru-RU"/>
              </w:rPr>
              <w:t xml:space="preserve">44-ФЗ. Возврат таких денежных средств участнику закупки ЕАЭС не осуществляется в случае, предусмотренном пунктом 7 части 10 статьи 44 </w:t>
            </w:r>
            <w:r>
              <w:rPr>
                <w:sz w:val="24"/>
                <w:szCs w:val="24"/>
                <w:lang w:val="ru-RU"/>
              </w:rPr>
              <w:t xml:space="preserve">Федерального </w:t>
            </w:r>
            <w:r w:rsidRPr="00DD42FD">
              <w:rPr>
                <w:sz w:val="24"/>
                <w:szCs w:val="24"/>
                <w:lang w:val="ru-RU"/>
              </w:rPr>
              <w:t>Закона №</w:t>
            </w:r>
            <w:r>
              <w:rPr>
                <w:sz w:val="24"/>
                <w:szCs w:val="24"/>
                <w:lang w:val="ru-RU"/>
              </w:rPr>
              <w:t xml:space="preserve"> </w:t>
            </w:r>
            <w:r w:rsidRPr="00DD42FD">
              <w:rPr>
                <w:sz w:val="24"/>
                <w:szCs w:val="24"/>
                <w:lang w:val="ru-RU"/>
              </w:rPr>
              <w:t>44-ФЗ.</w:t>
            </w:r>
          </w:p>
          <w:p w:rsidR="00DD42FD" w:rsidRDefault="00DD42FD" w:rsidP="00FC351A">
            <w:pPr>
              <w:spacing w:before="0" w:beforeAutospacing="0" w:after="0" w:afterAutospacing="0"/>
              <w:jc w:val="both"/>
              <w:rPr>
                <w:rFonts w:ascii="Times New Roman" w:eastAsia="Calibri" w:hAnsi="Times New Roman" w:cs="Times New Roman"/>
                <w:i/>
                <w:sz w:val="24"/>
                <w:szCs w:val="24"/>
                <w:lang w:val="ru-RU"/>
              </w:rPr>
            </w:pPr>
          </w:p>
          <w:p w:rsidR="00321FB9" w:rsidRPr="00321FB9" w:rsidRDefault="00321FB9" w:rsidP="00FC351A">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Реквизиты счета в соответствии с пунктом 16 части 1 статьи 42 Федерального закона № 44-ФЗ:</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Наименование </w:t>
            </w:r>
            <w:r w:rsidR="004C3179">
              <w:rPr>
                <w:rFonts w:hAnsi="Times New Roman" w:cs="Times New Roman"/>
                <w:color w:val="000000"/>
                <w:sz w:val="24"/>
                <w:szCs w:val="24"/>
                <w:lang w:val="ru-RU"/>
              </w:rPr>
              <w:t>З</w:t>
            </w:r>
            <w:r w:rsidRPr="00321FB9">
              <w:rPr>
                <w:rFonts w:hAnsi="Times New Roman" w:cs="Times New Roman"/>
                <w:color w:val="000000"/>
                <w:sz w:val="24"/>
                <w:szCs w:val="24"/>
                <w:lang w:val="ru-RU"/>
              </w:rPr>
              <w:t>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ИНН 7728013512 / КПП 772801001 </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Банковские реквизиты: БИК ТОФК 004525988</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ГУ Банка России по ЦФО, УФК по г. Москве </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Единый казначейский счет 40102810545370000003</w:t>
            </w:r>
          </w:p>
          <w:p w:rsidR="00321FB9" w:rsidRPr="00321FB9"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Казначейский счет 03214643000000017300</w:t>
            </w:r>
          </w:p>
          <w:p w:rsidR="00D75D24" w:rsidRPr="0089592F" w:rsidRDefault="00321FB9" w:rsidP="00321FB9">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л/с 20736Ц83220</w:t>
            </w:r>
          </w:p>
        </w:tc>
      </w:tr>
      <w:tr w:rsidR="00D75D24" w:rsidRPr="00024C2F"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Pr="00D3696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055FAD">
              <w:rPr>
                <w:rFonts w:ascii="Times New Roman" w:eastAsia="Times New Roman" w:hAnsi="Times New Roman" w:cs="Times New Roman"/>
                <w:b/>
                <w:sz w:val="24"/>
                <w:szCs w:val="24"/>
                <w:lang w:val="ru-RU" w:eastAsia="ru-RU"/>
              </w:rPr>
              <w:t>Обеспечение исполнения контракта</w:t>
            </w:r>
            <w:r w:rsidRPr="00B5467D">
              <w:rPr>
                <w:rFonts w:ascii="Times New Roman" w:eastAsia="Times New Roman" w:hAnsi="Times New Roman" w:cs="Times New Roman"/>
                <w:b/>
                <w:sz w:val="24"/>
                <w:szCs w:val="24"/>
                <w:lang w:val="ru-RU" w:eastAsia="ru-RU"/>
              </w:rPr>
              <w:t xml:space="preserve"> </w:t>
            </w:r>
            <w:r w:rsidR="00055FAD" w:rsidRPr="00055FAD">
              <w:rPr>
                <w:rFonts w:ascii="Times New Roman" w:eastAsia="Times New Roman" w:hAnsi="Times New Roman" w:cs="Times New Roman"/>
                <w:sz w:val="24"/>
                <w:szCs w:val="24"/>
                <w:lang w:val="ru-RU" w:eastAsia="ru-RU"/>
              </w:rPr>
              <w:t xml:space="preserve">устанавливается в размере </w:t>
            </w:r>
            <w:r w:rsidR="007953BE">
              <w:rPr>
                <w:rFonts w:ascii="Times New Roman" w:eastAsia="Times New Roman" w:hAnsi="Times New Roman" w:cs="Times New Roman"/>
                <w:b/>
                <w:sz w:val="24"/>
                <w:szCs w:val="24"/>
                <w:lang w:val="ru-RU" w:eastAsia="ru-RU"/>
              </w:rPr>
              <w:t>184 449</w:t>
            </w:r>
            <w:r w:rsidR="00D36967" w:rsidRPr="00D36967">
              <w:rPr>
                <w:rFonts w:ascii="Times New Roman" w:eastAsia="Times New Roman" w:hAnsi="Times New Roman" w:cs="Times New Roman"/>
                <w:sz w:val="24"/>
                <w:szCs w:val="24"/>
                <w:lang w:val="ru-RU" w:eastAsia="ru-RU"/>
              </w:rPr>
              <w:t xml:space="preserve"> (</w:t>
            </w:r>
            <w:r w:rsidR="007953BE">
              <w:rPr>
                <w:rFonts w:ascii="Times New Roman" w:eastAsia="Times New Roman" w:hAnsi="Times New Roman" w:cs="Times New Roman"/>
                <w:sz w:val="24"/>
                <w:szCs w:val="24"/>
                <w:lang w:val="ru-RU" w:eastAsia="ru-RU"/>
              </w:rPr>
              <w:t>Сто восемьдесят четыре тысячи четыреста сорок девять</w:t>
            </w:r>
            <w:r w:rsidR="00FA2658">
              <w:rPr>
                <w:rFonts w:ascii="Times New Roman" w:eastAsia="Times New Roman" w:hAnsi="Times New Roman" w:cs="Times New Roman"/>
                <w:sz w:val="24"/>
                <w:szCs w:val="24"/>
                <w:lang w:val="ru-RU" w:eastAsia="ru-RU"/>
              </w:rPr>
              <w:t xml:space="preserve">) </w:t>
            </w:r>
            <w:r w:rsidR="00D36967" w:rsidRPr="00D36967">
              <w:rPr>
                <w:rFonts w:ascii="Times New Roman" w:eastAsia="Times New Roman" w:hAnsi="Times New Roman" w:cs="Times New Roman"/>
                <w:sz w:val="24"/>
                <w:szCs w:val="24"/>
                <w:lang w:val="ru-RU" w:eastAsia="ru-RU"/>
              </w:rPr>
              <w:t>рубл</w:t>
            </w:r>
            <w:r w:rsidR="007953BE">
              <w:rPr>
                <w:rFonts w:ascii="Times New Roman" w:eastAsia="Times New Roman" w:hAnsi="Times New Roman" w:cs="Times New Roman"/>
                <w:sz w:val="24"/>
                <w:szCs w:val="24"/>
                <w:lang w:val="ru-RU" w:eastAsia="ru-RU"/>
              </w:rPr>
              <w:t>ей</w:t>
            </w:r>
            <w:r w:rsidR="00D36967" w:rsidRPr="00D36967">
              <w:rPr>
                <w:rFonts w:ascii="Times New Roman" w:eastAsia="Times New Roman" w:hAnsi="Times New Roman" w:cs="Times New Roman"/>
                <w:sz w:val="24"/>
                <w:szCs w:val="24"/>
                <w:lang w:val="ru-RU" w:eastAsia="ru-RU"/>
              </w:rPr>
              <w:t xml:space="preserve"> </w:t>
            </w:r>
            <w:r w:rsidR="007953BE">
              <w:rPr>
                <w:rFonts w:ascii="Times New Roman" w:eastAsia="Times New Roman" w:hAnsi="Times New Roman" w:cs="Times New Roman"/>
                <w:b/>
                <w:sz w:val="24"/>
                <w:szCs w:val="24"/>
                <w:lang w:val="ru-RU" w:eastAsia="ru-RU"/>
              </w:rPr>
              <w:t>2</w:t>
            </w:r>
            <w:r w:rsidR="00024C2F">
              <w:rPr>
                <w:rFonts w:ascii="Times New Roman" w:eastAsia="Times New Roman" w:hAnsi="Times New Roman" w:cs="Times New Roman"/>
                <w:b/>
                <w:sz w:val="24"/>
                <w:szCs w:val="24"/>
                <w:lang w:val="ru-RU" w:eastAsia="ru-RU"/>
              </w:rPr>
              <w:t>2</w:t>
            </w:r>
            <w:r w:rsidR="00024C2F">
              <w:rPr>
                <w:rFonts w:ascii="Times New Roman" w:eastAsia="Times New Roman" w:hAnsi="Times New Roman" w:cs="Times New Roman"/>
                <w:sz w:val="24"/>
                <w:szCs w:val="24"/>
                <w:lang w:val="ru-RU" w:eastAsia="ru-RU"/>
              </w:rPr>
              <w:t xml:space="preserve"> копейки</w:t>
            </w:r>
            <w:r w:rsidR="00055FAD" w:rsidRPr="00055FAD">
              <w:rPr>
                <w:rFonts w:ascii="Times New Roman" w:eastAsia="Times New Roman" w:hAnsi="Times New Roman" w:cs="Times New Roman"/>
                <w:b/>
                <w:sz w:val="24"/>
                <w:szCs w:val="24"/>
                <w:lang w:val="ru-RU" w:eastAsia="ru-RU"/>
              </w:rPr>
              <w:t>, что составляет 10 % от начальной (максимальной) цены Контракта</w:t>
            </w:r>
            <w:r w:rsidR="00055FAD">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sz w:val="24"/>
                <w:szCs w:val="24"/>
                <w:lang w:val="ru-RU" w:eastAsia="ru-RU"/>
              </w:rPr>
              <w:t>НДС не облагается.</w:t>
            </w:r>
          </w:p>
          <w:p w:rsidR="002B28F3" w:rsidRDefault="002B28F3"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2B28F3" w:rsidRPr="00B5467D"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xml:space="preserve">, подтверждающей добросовестность такого участника </w:t>
            </w:r>
            <w:r w:rsidR="004C3179">
              <w:rPr>
                <w:rFonts w:ascii="Times New Roman" w:eastAsia="Calibri" w:hAnsi="Times New Roman" w:cs="Times New Roman"/>
                <w:sz w:val="24"/>
                <w:szCs w:val="24"/>
                <w:lang w:val="ru-RU"/>
              </w:rPr>
              <w:t xml:space="preserve">                            </w:t>
            </w:r>
            <w:r w:rsidRPr="00B5467D">
              <w:rPr>
                <w:rFonts w:ascii="Times New Roman" w:eastAsia="Calibri" w:hAnsi="Times New Roman" w:cs="Times New Roman"/>
                <w:sz w:val="24"/>
                <w:szCs w:val="24"/>
                <w:lang w:val="ru-RU"/>
              </w:rPr>
              <w:t>в соответствии с </w:t>
            </w:r>
            <w:hyperlink r:id="rId10"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004C3179">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 xml:space="preserve">Предоставление обеспечения исполнения контракта путем внесения денежных средств на счет </w:t>
            </w:r>
            <w:r w:rsidR="004C3179">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Default="004C3179"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C3179">
              <w:rPr>
                <w:rFonts w:ascii="Times New Roman" w:eastAsia="Times New Roman" w:hAnsi="Times New Roman" w:cs="Times New Roman"/>
                <w:sz w:val="24"/>
                <w:szCs w:val="24"/>
                <w:lang w:val="ru-RU" w:eastAsia="ru-RU"/>
              </w:rPr>
              <w:t>Реквизиты счета в соответствии с пунктом 16 части 1 статьи 42 Ф</w:t>
            </w:r>
            <w:r w:rsidR="00F74B09">
              <w:rPr>
                <w:rFonts w:ascii="Times New Roman" w:eastAsia="Times New Roman" w:hAnsi="Times New Roman" w:cs="Times New Roman"/>
                <w:sz w:val="24"/>
                <w:szCs w:val="24"/>
                <w:lang w:val="ru-RU" w:eastAsia="ru-RU"/>
              </w:rPr>
              <w:t xml:space="preserve">едерального закона </w:t>
            </w:r>
            <w:r w:rsidRPr="004C3179">
              <w:rPr>
                <w:rFonts w:ascii="Times New Roman" w:eastAsia="Times New Roman" w:hAnsi="Times New Roman" w:cs="Times New Roman"/>
                <w:sz w:val="24"/>
                <w:szCs w:val="24"/>
                <w:lang w:val="ru-RU" w:eastAsia="ru-RU"/>
              </w:rPr>
              <w:t>№ 44-ФЗ:</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Наименование </w:t>
            </w:r>
            <w:r w:rsidR="004C3179">
              <w:rPr>
                <w:rFonts w:ascii="Times New Roman" w:eastAsia="Times New Roman" w:hAnsi="Times New Roman" w:cs="Times New Roman"/>
                <w:sz w:val="24"/>
                <w:szCs w:val="24"/>
                <w:lang w:val="ru-RU" w:eastAsia="ru-RU"/>
              </w:rPr>
              <w:t>З</w:t>
            </w:r>
            <w:r w:rsidRPr="00B5467D">
              <w:rPr>
                <w:rFonts w:ascii="Times New Roman" w:eastAsia="Times New Roman" w:hAnsi="Times New Roman" w:cs="Times New Roman"/>
                <w:sz w:val="24"/>
                <w:szCs w:val="24"/>
                <w:lang w:val="ru-RU" w:eastAsia="ru-RU"/>
              </w:rPr>
              <w:t>аказчика: Федеральное государственное бюджетное учреждение науки Институт проблем управления им. В.А. Тра</w:t>
            </w:r>
            <w:r w:rsidR="00302FA0">
              <w:rPr>
                <w:rFonts w:ascii="Times New Roman" w:eastAsia="Times New Roman" w:hAnsi="Times New Roman" w:cs="Times New Roman"/>
                <w:sz w:val="24"/>
                <w:szCs w:val="24"/>
                <w:lang w:val="ru-RU" w:eastAsia="ru-RU"/>
              </w:rPr>
              <w:t xml:space="preserve">пезникова </w:t>
            </w:r>
            <w:r w:rsidRPr="00B5467D">
              <w:rPr>
                <w:rFonts w:ascii="Times New Roman" w:eastAsia="Times New Roman" w:hAnsi="Times New Roman" w:cs="Times New Roman"/>
                <w:sz w:val="24"/>
                <w:szCs w:val="24"/>
                <w:lang w:val="ru-RU" w:eastAsia="ru-RU"/>
              </w:rPr>
              <w:t>Российской академии наук (ИПУ РАН)</w:t>
            </w:r>
          </w:p>
          <w:p w:rsidR="002B28F3" w:rsidRPr="00B5467D" w:rsidRDefault="00D36967"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002B28F3" w:rsidRPr="00B5467D">
              <w:rPr>
                <w:rFonts w:ascii="Times New Roman" w:eastAsia="Times New Roman" w:hAnsi="Times New Roman" w:cs="Times New Roman"/>
                <w:sz w:val="24"/>
                <w:szCs w:val="24"/>
                <w:lang w:val="ru-RU" w:eastAsia="ru-RU"/>
              </w:rPr>
              <w:t xml:space="preserve">772801001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ГУ Банка России по ЦФО, УФК п</w:t>
            </w:r>
            <w:r w:rsidR="00D36967">
              <w:rPr>
                <w:rFonts w:ascii="Times New Roman" w:eastAsia="Times New Roman" w:hAnsi="Times New Roman" w:cs="Times New Roman"/>
                <w:sz w:val="24"/>
                <w:szCs w:val="24"/>
                <w:lang w:val="ru-RU" w:eastAsia="ru-RU"/>
              </w:rPr>
              <w:t xml:space="preserve">о г. Москве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2B28F3" w:rsidRPr="00B5467D" w:rsidRDefault="00D36967"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79049D" w:rsidRDefault="002B28F3" w:rsidP="0079049D">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 </w:t>
            </w:r>
            <w:r w:rsidR="0079049D" w:rsidRPr="0079049D">
              <w:rPr>
                <w:rFonts w:ascii="Times New Roman" w:eastAsia="Calibri" w:hAnsi="Times New Roman" w:cs="Times New Roman"/>
                <w:sz w:val="24"/>
                <w:szCs w:val="24"/>
                <w:lang w:val="ru-RU"/>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w:t>
            </w:r>
            <w:r w:rsidR="0079049D">
              <w:rPr>
                <w:rFonts w:ascii="Times New Roman" w:eastAsia="Calibri" w:hAnsi="Times New Roman" w:cs="Times New Roman"/>
                <w:sz w:val="24"/>
                <w:szCs w:val="24"/>
                <w:lang w:val="ru-RU"/>
              </w:rPr>
              <w:t xml:space="preserve">м законом от 24 июля 2007 года </w:t>
            </w:r>
            <w:r w:rsidR="0079049D" w:rsidRPr="0079049D">
              <w:rPr>
                <w:rFonts w:ascii="Times New Roman" w:eastAsia="Calibri" w:hAnsi="Times New Roman" w:cs="Times New Roman"/>
                <w:sz w:val="24"/>
                <w:szCs w:val="24"/>
                <w:lang w:val="ru-RU"/>
              </w:rPr>
              <w:t xml:space="preserve">№ 209-ФЗ </w:t>
            </w:r>
            <w:r w:rsidR="0079049D">
              <w:rPr>
                <w:rFonts w:ascii="Times New Roman" w:eastAsia="Calibri" w:hAnsi="Times New Roman" w:cs="Times New Roman"/>
                <w:sz w:val="24"/>
                <w:szCs w:val="24"/>
                <w:lang w:val="ru-RU"/>
              </w:rPr>
              <w:t xml:space="preserve">                          </w:t>
            </w:r>
            <w:r w:rsidR="0079049D" w:rsidRPr="0079049D">
              <w:rPr>
                <w:rFonts w:ascii="Times New Roman" w:eastAsia="Calibri" w:hAnsi="Times New Roman" w:cs="Times New Roman"/>
                <w:sz w:val="24"/>
                <w:szCs w:val="24"/>
                <w:lang w:val="ru-RU"/>
              </w:rPr>
              <w:t>«О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(Постановление Правительства Российской Федер</w:t>
            </w:r>
            <w:r w:rsidR="0079049D">
              <w:rPr>
                <w:rFonts w:ascii="Times New Roman" w:eastAsia="Calibri" w:hAnsi="Times New Roman" w:cs="Times New Roman"/>
                <w:sz w:val="24"/>
                <w:szCs w:val="24"/>
                <w:lang w:val="ru-RU"/>
              </w:rPr>
              <w:t xml:space="preserve">ации от                     20 декабря 2021 г. </w:t>
            </w:r>
            <w:r w:rsidR="0079049D" w:rsidRPr="0079049D">
              <w:rPr>
                <w:rFonts w:ascii="Times New Roman" w:eastAsia="Calibri" w:hAnsi="Times New Roman" w:cs="Times New Roman"/>
                <w:sz w:val="24"/>
                <w:szCs w:val="24"/>
                <w:lang w:val="ru-RU"/>
              </w:rPr>
              <w:t>№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B28F3" w:rsidRPr="003E62F3" w:rsidRDefault="002B28F3" w:rsidP="002B28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2B28F3" w:rsidRDefault="002B28F3" w:rsidP="00875D32">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bCs/>
                <w:sz w:val="24"/>
                <w:szCs w:val="24"/>
                <w:lang w:val="ru-RU"/>
              </w:rPr>
            </w:pPr>
            <w:r w:rsidRPr="00B5467D">
              <w:rPr>
                <w:rFonts w:ascii="Times New Roman" w:eastAsia="Calibri" w:hAnsi="Times New Roman" w:cs="Times New Roman"/>
                <w:bCs/>
                <w:sz w:val="24"/>
                <w:szCs w:val="24"/>
                <w:lang w:val="ru-RU"/>
              </w:rPr>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FC351A" w:rsidRPr="00875D32" w:rsidRDefault="00FC351A" w:rsidP="00875D32">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p>
          <w:p w:rsidR="002B28F3" w:rsidRPr="00B5467D"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0B3560" w:rsidRPr="0065679D" w:rsidRDefault="000B3560" w:rsidP="000B356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11"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2"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173806"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sidR="00875D32">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2B28F3"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173806">
              <w:rPr>
                <w:rFonts w:ascii="Times New Roman" w:eastAsia="Calibri" w:hAnsi="Times New Roman" w:cs="Times New Roman"/>
                <w:sz w:val="24"/>
                <w:szCs w:val="24"/>
                <w:lang w:val="ru-RU"/>
              </w:rPr>
              <w:t xml:space="preserve">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w:t>
            </w:r>
            <w:r w:rsidR="00FC351A">
              <w:rPr>
                <w:rFonts w:ascii="Times New Roman" w:eastAsia="Calibri" w:hAnsi="Times New Roman" w:cs="Times New Roman"/>
                <w:sz w:val="24"/>
                <w:szCs w:val="24"/>
                <w:lang w:val="ru-RU"/>
              </w:rPr>
              <w:t>удовлетворении этого требования;</w:t>
            </w:r>
          </w:p>
          <w:p w:rsidR="0063173B" w:rsidRDefault="002B28F3" w:rsidP="00055FAD">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FC351A" w:rsidRPr="002B28F3" w:rsidRDefault="00FC351A" w:rsidP="00FC351A">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FC351A">
              <w:rPr>
                <w:rFonts w:ascii="Times New Roman" w:eastAsia="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w:t>
            </w:r>
            <w:r>
              <w:rPr>
                <w:rFonts w:ascii="Times New Roman" w:eastAsia="Times New Roman" w:hAnsi="Times New Roman" w:cs="Times New Roman"/>
                <w:sz w:val="24"/>
                <w:szCs w:val="24"/>
                <w:lang w:val="ru-RU" w:eastAsia="ru-RU"/>
              </w:rPr>
              <w:t xml:space="preserve">Федерации от 08.11.2013 № 1005 </w:t>
            </w:r>
            <w:proofErr w:type="gramStart"/>
            <w:r>
              <w:rPr>
                <w:rFonts w:ascii="Times New Roman" w:eastAsia="Times New Roman" w:hAnsi="Times New Roman" w:cs="Times New Roman"/>
                <w:sz w:val="24"/>
                <w:szCs w:val="24"/>
                <w:lang w:val="ru-RU" w:eastAsia="ru-RU"/>
              </w:rPr>
              <w:t xml:space="preserve">   </w:t>
            </w:r>
            <w:r w:rsidRPr="00FC351A">
              <w:rPr>
                <w:rFonts w:ascii="Times New Roman" w:eastAsia="Times New Roman" w:hAnsi="Times New Roman" w:cs="Times New Roman"/>
                <w:sz w:val="24"/>
                <w:szCs w:val="24"/>
                <w:lang w:val="ru-RU" w:eastAsia="ru-RU"/>
              </w:rPr>
              <w:t>«</w:t>
            </w:r>
            <w:proofErr w:type="gramEnd"/>
            <w:r w:rsidRPr="00FC351A">
              <w:rPr>
                <w:rFonts w:ascii="Times New Roman" w:eastAsia="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tc>
      </w:tr>
      <w:tr w:rsidR="003343B9" w:rsidRPr="00024C2F"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55FAD" w:rsidRPr="00D36967" w:rsidRDefault="00055FAD" w:rsidP="00055FAD">
            <w:pPr>
              <w:widowControl w:val="0"/>
              <w:autoSpaceDE w:val="0"/>
              <w:autoSpaceDN w:val="0"/>
              <w:spacing w:before="0" w:beforeAutospacing="0" w:after="0" w:afterAutospacing="0"/>
              <w:jc w:val="both"/>
              <w:rPr>
                <w:rFonts w:ascii="Times New Roman" w:hAnsi="Times New Roman" w:cs="Times New Roman"/>
                <w:b/>
                <w:sz w:val="24"/>
                <w:szCs w:val="24"/>
                <w:lang w:val="ru-RU" w:eastAsia="ru-RU"/>
              </w:rPr>
            </w:pPr>
            <w:r w:rsidRPr="00055FAD">
              <w:rPr>
                <w:rFonts w:ascii="Times New Roman" w:hAnsi="Times New Roman" w:cs="Times New Roman"/>
                <w:b/>
                <w:sz w:val="24"/>
                <w:szCs w:val="24"/>
                <w:lang w:val="ru-RU" w:eastAsia="ru-RU"/>
              </w:rPr>
              <w:t>Обеспечение гарантийных обязательств</w:t>
            </w:r>
            <w:r w:rsidRPr="00055FAD">
              <w:rPr>
                <w:rFonts w:ascii="Times New Roman" w:hAnsi="Times New Roman" w:cs="Times New Roman"/>
                <w:sz w:val="24"/>
                <w:szCs w:val="24"/>
                <w:lang w:val="ru-RU" w:eastAsia="ru-RU"/>
              </w:rPr>
              <w:t xml:space="preserve"> устанавливается в размере </w:t>
            </w:r>
            <w:r w:rsidR="00823BCD">
              <w:rPr>
                <w:rFonts w:ascii="Times New Roman" w:hAnsi="Times New Roman" w:cs="Times New Roman"/>
                <w:b/>
                <w:sz w:val="24"/>
                <w:szCs w:val="24"/>
                <w:lang w:val="ru-RU" w:eastAsia="ru-RU"/>
              </w:rPr>
              <w:t>10</w:t>
            </w:r>
            <w:r w:rsidRPr="00055FAD">
              <w:rPr>
                <w:rFonts w:ascii="Times New Roman" w:hAnsi="Times New Roman" w:cs="Times New Roman"/>
                <w:b/>
                <w:sz w:val="24"/>
                <w:szCs w:val="24"/>
                <w:lang w:val="ru-RU" w:eastAsia="ru-RU"/>
              </w:rPr>
              <w:t xml:space="preserve"> % от начальной (максимальной) цены контракта, что составляет </w:t>
            </w:r>
            <w:r w:rsidR="007953BE">
              <w:rPr>
                <w:rFonts w:ascii="Times New Roman" w:hAnsi="Times New Roman" w:cs="Times New Roman"/>
                <w:b/>
                <w:sz w:val="24"/>
                <w:szCs w:val="24"/>
                <w:lang w:val="ru-RU" w:eastAsia="ru-RU"/>
              </w:rPr>
              <w:t>184 449</w:t>
            </w:r>
            <w:r w:rsidR="00FA2658">
              <w:rPr>
                <w:rFonts w:ascii="Times New Roman" w:hAnsi="Times New Roman" w:cs="Times New Roman"/>
                <w:b/>
                <w:sz w:val="24"/>
                <w:szCs w:val="24"/>
                <w:lang w:val="ru-RU" w:eastAsia="ru-RU"/>
              </w:rPr>
              <w:t xml:space="preserve"> </w:t>
            </w:r>
            <w:r w:rsidR="00D36967" w:rsidRPr="00D36967">
              <w:rPr>
                <w:rFonts w:ascii="Times New Roman" w:hAnsi="Times New Roman" w:cs="Times New Roman"/>
                <w:sz w:val="24"/>
                <w:szCs w:val="24"/>
                <w:lang w:val="ru-RU" w:eastAsia="ru-RU"/>
              </w:rPr>
              <w:t>(</w:t>
            </w:r>
            <w:r w:rsidR="007953BE">
              <w:rPr>
                <w:rFonts w:ascii="Times New Roman" w:hAnsi="Times New Roman" w:cs="Times New Roman"/>
                <w:sz w:val="24"/>
                <w:szCs w:val="24"/>
                <w:lang w:val="ru-RU" w:eastAsia="ru-RU"/>
              </w:rPr>
              <w:t>Сто восемьдесят четыре тысячи четыреста сорок девять</w:t>
            </w:r>
            <w:r w:rsidR="00D36967" w:rsidRPr="00D36967">
              <w:rPr>
                <w:rFonts w:ascii="Times New Roman" w:hAnsi="Times New Roman" w:cs="Times New Roman"/>
                <w:sz w:val="24"/>
                <w:szCs w:val="24"/>
                <w:lang w:val="ru-RU" w:eastAsia="ru-RU"/>
              </w:rPr>
              <w:t xml:space="preserve">) </w:t>
            </w:r>
            <w:r w:rsidR="00FA2658">
              <w:rPr>
                <w:rFonts w:ascii="Times New Roman" w:hAnsi="Times New Roman" w:cs="Times New Roman"/>
                <w:b/>
                <w:sz w:val="24"/>
                <w:szCs w:val="24"/>
                <w:lang w:val="ru-RU" w:eastAsia="ru-RU"/>
              </w:rPr>
              <w:t>рубл</w:t>
            </w:r>
            <w:r w:rsidR="007953BE">
              <w:rPr>
                <w:rFonts w:ascii="Times New Roman" w:hAnsi="Times New Roman" w:cs="Times New Roman"/>
                <w:b/>
                <w:sz w:val="24"/>
                <w:szCs w:val="24"/>
                <w:lang w:val="ru-RU" w:eastAsia="ru-RU"/>
              </w:rPr>
              <w:t>ей</w:t>
            </w:r>
            <w:r w:rsidR="00FA2658">
              <w:rPr>
                <w:rFonts w:ascii="Times New Roman" w:hAnsi="Times New Roman" w:cs="Times New Roman"/>
                <w:b/>
                <w:sz w:val="24"/>
                <w:szCs w:val="24"/>
                <w:lang w:val="ru-RU" w:eastAsia="ru-RU"/>
              </w:rPr>
              <w:t xml:space="preserve"> </w:t>
            </w:r>
            <w:r w:rsidR="007953BE">
              <w:rPr>
                <w:rFonts w:ascii="Times New Roman" w:hAnsi="Times New Roman" w:cs="Times New Roman"/>
                <w:b/>
                <w:sz w:val="24"/>
                <w:szCs w:val="24"/>
                <w:lang w:val="ru-RU" w:eastAsia="ru-RU"/>
              </w:rPr>
              <w:t>2</w:t>
            </w:r>
            <w:r w:rsidR="00024C2F">
              <w:rPr>
                <w:rFonts w:ascii="Times New Roman" w:hAnsi="Times New Roman" w:cs="Times New Roman"/>
                <w:b/>
                <w:sz w:val="24"/>
                <w:szCs w:val="24"/>
                <w:lang w:val="ru-RU" w:eastAsia="ru-RU"/>
              </w:rPr>
              <w:t>2 копейки</w:t>
            </w:r>
            <w:bookmarkStart w:id="0" w:name="_GoBack"/>
            <w:bookmarkEnd w:id="0"/>
            <w:r w:rsidRPr="00055FAD">
              <w:rPr>
                <w:rFonts w:ascii="Times New Roman" w:hAnsi="Times New Roman" w:cs="Times New Roman"/>
                <w:sz w:val="24"/>
                <w:szCs w:val="24"/>
                <w:lang w:val="ru-RU" w:eastAsia="ru-RU"/>
              </w:rPr>
              <w:t>.</w:t>
            </w:r>
            <w:r>
              <w:rPr>
                <w:rFonts w:ascii="Times New Roman" w:hAnsi="Times New Roman" w:cs="Times New Roman"/>
                <w:sz w:val="24"/>
                <w:szCs w:val="24"/>
                <w:lang w:val="ru-RU" w:eastAsia="ru-RU"/>
              </w:rPr>
              <w:t xml:space="preserve"> </w:t>
            </w:r>
            <w:r w:rsidRPr="00055FAD">
              <w:rPr>
                <w:rFonts w:ascii="Times New Roman" w:hAnsi="Times New Roman" w:cs="Times New Roman"/>
                <w:sz w:val="24"/>
                <w:szCs w:val="24"/>
                <w:lang w:val="ru-RU" w:eastAsia="ru-RU"/>
              </w:rPr>
              <w:t>НДС не облагается.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Обеспечение гарантийных обязательств предоставляется в виде независимой гарантии или внесения денежных средств на счет Заказчика.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Заказчик в качестве обеспечения исполнения контракта принимает независимые гарантии, выданные: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1) 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2) Государственной корпорацией развития «ВЭБ РФ»;</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(при осуществлении закупок в соответствии с пунктом 1 части 1 статьи 30 Федерального закона);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В соответствии с частью 8 статьи 45 Федерального закона 44-ФЗ независимая гарантия, информация о ней и документы, предусмотренные частью 9 статьи 45 Федерального закона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В соответствии с частями 2, 3 и 3.1 статьи 45 Федерального закона независимая гарантия должна быть безотзывной и должна содержать:</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1) сумму независимой гарантии, подлежащую уплате гарантом заказчику в установленных частью 15 статьи 44 Федерального закона, 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44-ФЗ, а также идентификационный код закупки, при осуществлении которой предоставляется такая независимая гарантия;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2) обязательства принципала, надлежащее исполнение которых обеспечивается независимой гарантией;</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3) 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5) срок действия независимой гарантии с учетом требований статей 44 и 96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FC351A" w:rsidRPr="00FC351A" w:rsidRDefault="00FC351A" w:rsidP="00FC351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FC351A">
              <w:rPr>
                <w:rFonts w:ascii="Times New Roman" w:hAnsi="Times New Roman" w:cs="Times New Roman"/>
                <w:sz w:val="24"/>
                <w:szCs w:val="24"/>
                <w:lang w:val="ru-RU" w:eastAsia="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1005 </w:t>
            </w:r>
          </w:p>
          <w:p w:rsidR="00FC351A" w:rsidRDefault="00FC351A" w:rsidP="00FC351A">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FC351A">
              <w:rPr>
                <w:rFonts w:ascii="Times New Roman" w:hAnsi="Times New Roman" w:cs="Times New Roman"/>
                <w:sz w:val="24"/>
                <w:szCs w:val="24"/>
                <w:lang w:val="ru-RU" w:eastAsia="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FC351A" w:rsidRPr="00055FAD" w:rsidRDefault="00FC351A"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Реквизиты счета для внесения обеспечения гарантийных обязательств: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w:t>
            </w:r>
            <w:r w:rsidR="00D36967">
              <w:rPr>
                <w:rFonts w:ascii="Times New Roman" w:hAnsi="Times New Roman" w:cs="Times New Roman"/>
                <w:sz w:val="24"/>
                <w:szCs w:val="24"/>
                <w:lang w:val="ru-RU" w:eastAsia="ru-RU"/>
              </w:rPr>
              <w:t xml:space="preserve">авления им. В.А. Трапезникова </w:t>
            </w:r>
            <w:r w:rsidRPr="00055FAD">
              <w:rPr>
                <w:rFonts w:ascii="Times New Roman" w:hAnsi="Times New Roman" w:cs="Times New Roman"/>
                <w:sz w:val="24"/>
                <w:szCs w:val="24"/>
                <w:lang w:val="ru-RU" w:eastAsia="ru-RU"/>
              </w:rPr>
              <w:t>Российской академии наук (ИПУ РАН).</w:t>
            </w:r>
          </w:p>
          <w:p w:rsidR="00055FAD" w:rsidRPr="00055FAD" w:rsidRDefault="00FC351A"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ИНН 7728013512 / КПП </w:t>
            </w:r>
            <w:r w:rsidR="00055FAD" w:rsidRPr="00055FAD">
              <w:rPr>
                <w:rFonts w:ascii="Times New Roman" w:hAnsi="Times New Roman" w:cs="Times New Roman"/>
                <w:sz w:val="24"/>
                <w:szCs w:val="24"/>
                <w:lang w:val="ru-RU" w:eastAsia="ru-RU"/>
              </w:rPr>
              <w:t xml:space="preserve">772801001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ОГРН 1037739269590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Банковские реквизиты: БИК ТОФК 004525988</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ГУ Банка Р</w:t>
            </w:r>
            <w:r w:rsidR="00D36967">
              <w:rPr>
                <w:rFonts w:ascii="Times New Roman" w:hAnsi="Times New Roman" w:cs="Times New Roman"/>
                <w:sz w:val="24"/>
                <w:szCs w:val="24"/>
                <w:lang w:val="ru-RU" w:eastAsia="ru-RU"/>
              </w:rPr>
              <w:t xml:space="preserve">оссии по ЦФО, УФК по г. Москве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Единый казначейский счет 40102810545370000003</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Казначейский счет 03214643000000017300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л/с 20736Ц83220.</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Назначение платежа: Обеспечение гарантийных обязательств по контракту №__________ от «___» ________ 20_г. НДС не облагается.</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Способ обеспечения гарантийных обязательств, срок действия независимой гарантии определяются поставщиком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44-ФЗ.</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 xml:space="preserve">Оформление документа о приемке осуществляется только после предоставления Подрядчиком обеспечения исполнения гарантийных обязательств по Контракту. </w:t>
            </w:r>
          </w:p>
          <w:p w:rsidR="00055FAD" w:rsidRPr="00055FAD"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p>
          <w:p w:rsidR="003343B9" w:rsidRDefault="00055FAD" w:rsidP="00055FAD">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055FAD">
              <w:rPr>
                <w:rFonts w:ascii="Times New Roman" w:hAnsi="Times New Roman" w:cs="Times New Roman"/>
                <w:sz w:val="24"/>
                <w:szCs w:val="24"/>
                <w:lang w:val="ru-RU" w:eastAsia="ru-RU"/>
              </w:rPr>
              <w:t>Срок предоставления обеспечения</w:t>
            </w:r>
            <w:r w:rsidR="00BF3391">
              <w:rPr>
                <w:rFonts w:ascii="Times New Roman" w:hAnsi="Times New Roman" w:cs="Times New Roman"/>
                <w:sz w:val="24"/>
                <w:szCs w:val="24"/>
                <w:lang w:val="ru-RU" w:eastAsia="ru-RU"/>
              </w:rPr>
              <w:t xml:space="preserve"> гарантийных обязательств</w:t>
            </w:r>
            <w:r w:rsidRPr="00055FAD">
              <w:rPr>
                <w:rFonts w:ascii="Times New Roman" w:hAnsi="Times New Roman" w:cs="Times New Roman"/>
                <w:sz w:val="24"/>
                <w:szCs w:val="24"/>
                <w:lang w:val="ru-RU" w:eastAsia="ru-RU"/>
              </w:rPr>
              <w:t xml:space="preserve"> – в срок не позднее даты приемки выполненных Работ.</w:t>
            </w:r>
          </w:p>
        </w:tc>
      </w:tr>
    </w:tbl>
    <w:p w:rsidR="00F97DA1" w:rsidRDefault="00F97DA1" w:rsidP="00550EAD">
      <w:pPr>
        <w:pStyle w:val="formattext"/>
        <w:shd w:val="clear" w:color="auto" w:fill="FFFFFF"/>
        <w:spacing w:before="0" w:beforeAutospacing="0" w:after="0" w:afterAutospacing="0"/>
        <w:jc w:val="both"/>
        <w:textAlignment w:val="baseline"/>
      </w:pPr>
    </w:p>
    <w:sectPr w:rsidR="00F97DA1" w:rsidSect="00AD7619">
      <w:footerReference w:type="even" r:id="rId13"/>
      <w:footerReference w:type="default" r:id="rId14"/>
      <w:headerReference w:type="first" r:id="rId15"/>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jc w:val="right"/>
    </w:pPr>
    <w:r>
      <w:fldChar w:fldCharType="begin"/>
    </w:r>
    <w:r>
      <w:instrText>PAGE   \* MERGEFORMAT</w:instrText>
    </w:r>
    <w:r>
      <w:fldChar w:fldCharType="separate"/>
    </w:r>
    <w:r w:rsidR="00024C2F">
      <w:rPr>
        <w:noProof/>
      </w:rPr>
      <w:t>12</w:t>
    </w:r>
    <w:r>
      <w:fldChar w:fldCharType="end"/>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4C2F"/>
    <w:rsid w:val="00025BF5"/>
    <w:rsid w:val="00026604"/>
    <w:rsid w:val="000349D3"/>
    <w:rsid w:val="000448CD"/>
    <w:rsid w:val="000542EA"/>
    <w:rsid w:val="0005532C"/>
    <w:rsid w:val="00055FAD"/>
    <w:rsid w:val="000679F9"/>
    <w:rsid w:val="0007067C"/>
    <w:rsid w:val="00071F9C"/>
    <w:rsid w:val="0007653B"/>
    <w:rsid w:val="00092E69"/>
    <w:rsid w:val="000A4260"/>
    <w:rsid w:val="000B1617"/>
    <w:rsid w:val="000B3560"/>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3806"/>
    <w:rsid w:val="001746E3"/>
    <w:rsid w:val="0017472E"/>
    <w:rsid w:val="00176F53"/>
    <w:rsid w:val="001776F0"/>
    <w:rsid w:val="001855AF"/>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2FA0"/>
    <w:rsid w:val="00304325"/>
    <w:rsid w:val="00304E9A"/>
    <w:rsid w:val="003059B0"/>
    <w:rsid w:val="00305CC3"/>
    <w:rsid w:val="00312CFB"/>
    <w:rsid w:val="00316BDD"/>
    <w:rsid w:val="00321FB9"/>
    <w:rsid w:val="00326074"/>
    <w:rsid w:val="0032688D"/>
    <w:rsid w:val="003343B9"/>
    <w:rsid w:val="003356CD"/>
    <w:rsid w:val="00337553"/>
    <w:rsid w:val="00340010"/>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C3179"/>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29A8"/>
    <w:rsid w:val="00534004"/>
    <w:rsid w:val="005358C4"/>
    <w:rsid w:val="00540F7B"/>
    <w:rsid w:val="00546F7C"/>
    <w:rsid w:val="005471A4"/>
    <w:rsid w:val="00550EAD"/>
    <w:rsid w:val="00553492"/>
    <w:rsid w:val="00554228"/>
    <w:rsid w:val="005562F0"/>
    <w:rsid w:val="00563A70"/>
    <w:rsid w:val="00564D59"/>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3FEC"/>
    <w:rsid w:val="006543A4"/>
    <w:rsid w:val="00667076"/>
    <w:rsid w:val="00675329"/>
    <w:rsid w:val="0068344D"/>
    <w:rsid w:val="0069528D"/>
    <w:rsid w:val="006B6EDE"/>
    <w:rsid w:val="006C2CD0"/>
    <w:rsid w:val="006C320F"/>
    <w:rsid w:val="006C5AB3"/>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13595"/>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49D"/>
    <w:rsid w:val="007906D8"/>
    <w:rsid w:val="007953BE"/>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3BCD"/>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75D32"/>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6417"/>
    <w:rsid w:val="00B368AF"/>
    <w:rsid w:val="00B374A1"/>
    <w:rsid w:val="00B43238"/>
    <w:rsid w:val="00B51A52"/>
    <w:rsid w:val="00B51E4D"/>
    <w:rsid w:val="00B52A5E"/>
    <w:rsid w:val="00B52BD0"/>
    <w:rsid w:val="00B5371A"/>
    <w:rsid w:val="00B5467D"/>
    <w:rsid w:val="00B6305A"/>
    <w:rsid w:val="00B64057"/>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E5BC9"/>
    <w:rsid w:val="00BF3391"/>
    <w:rsid w:val="00BF5C31"/>
    <w:rsid w:val="00C05B02"/>
    <w:rsid w:val="00C060B9"/>
    <w:rsid w:val="00C11EF7"/>
    <w:rsid w:val="00C12C86"/>
    <w:rsid w:val="00C2112C"/>
    <w:rsid w:val="00C216FD"/>
    <w:rsid w:val="00C345B7"/>
    <w:rsid w:val="00C402DB"/>
    <w:rsid w:val="00C535A6"/>
    <w:rsid w:val="00C55567"/>
    <w:rsid w:val="00C73B73"/>
    <w:rsid w:val="00C7479C"/>
    <w:rsid w:val="00C747CC"/>
    <w:rsid w:val="00C77284"/>
    <w:rsid w:val="00C847D6"/>
    <w:rsid w:val="00C902EC"/>
    <w:rsid w:val="00C925DF"/>
    <w:rsid w:val="00C954BE"/>
    <w:rsid w:val="00C9632D"/>
    <w:rsid w:val="00CA29B4"/>
    <w:rsid w:val="00CA3243"/>
    <w:rsid w:val="00CB7B94"/>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126"/>
    <w:rsid w:val="00D324AE"/>
    <w:rsid w:val="00D338F6"/>
    <w:rsid w:val="00D33D18"/>
    <w:rsid w:val="00D3650A"/>
    <w:rsid w:val="00D36967"/>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D42FD"/>
    <w:rsid w:val="00DE2B6A"/>
    <w:rsid w:val="00DE7D28"/>
    <w:rsid w:val="00DF0FF3"/>
    <w:rsid w:val="00E02405"/>
    <w:rsid w:val="00E13AA4"/>
    <w:rsid w:val="00E302BE"/>
    <w:rsid w:val="00E30D0A"/>
    <w:rsid w:val="00E355CC"/>
    <w:rsid w:val="00E42C25"/>
    <w:rsid w:val="00E438A1"/>
    <w:rsid w:val="00E4471A"/>
    <w:rsid w:val="00E56F6B"/>
    <w:rsid w:val="00E57E6F"/>
    <w:rsid w:val="00E57E71"/>
    <w:rsid w:val="00E7098D"/>
    <w:rsid w:val="00E71FD4"/>
    <w:rsid w:val="00E737CB"/>
    <w:rsid w:val="00E739BB"/>
    <w:rsid w:val="00E850E1"/>
    <w:rsid w:val="00E85382"/>
    <w:rsid w:val="00E86AD1"/>
    <w:rsid w:val="00E87872"/>
    <w:rsid w:val="00E91C13"/>
    <w:rsid w:val="00E97A1D"/>
    <w:rsid w:val="00EA4F98"/>
    <w:rsid w:val="00EC57A7"/>
    <w:rsid w:val="00EC7CD7"/>
    <w:rsid w:val="00ED7B3E"/>
    <w:rsid w:val="00EE584F"/>
    <w:rsid w:val="00EE65A5"/>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4F2B"/>
    <w:rsid w:val="00F46E40"/>
    <w:rsid w:val="00F53552"/>
    <w:rsid w:val="00F6027E"/>
    <w:rsid w:val="00F61DE4"/>
    <w:rsid w:val="00F63CE2"/>
    <w:rsid w:val="00F6438E"/>
    <w:rsid w:val="00F66966"/>
    <w:rsid w:val="00F67C4C"/>
    <w:rsid w:val="00F74B09"/>
    <w:rsid w:val="00F92A7E"/>
    <w:rsid w:val="00F93993"/>
    <w:rsid w:val="00F945CB"/>
    <w:rsid w:val="00F96B50"/>
    <w:rsid w:val="00F97DA1"/>
    <w:rsid w:val="00FA2658"/>
    <w:rsid w:val="00FA36E5"/>
    <w:rsid w:val="00FA6BB4"/>
    <w:rsid w:val="00FB0E16"/>
    <w:rsid w:val="00FB2CC8"/>
    <w:rsid w:val="00FB3D31"/>
    <w:rsid w:val="00FC2431"/>
    <w:rsid w:val="00FC351A"/>
    <w:rsid w:val="00FC3EBC"/>
    <w:rsid w:val="00FD0063"/>
    <w:rsid w:val="00FE0203"/>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A3A54A2A37D81D48BB1F8717BA8F50CB952770343C58128D2139B83E94536754B97702439A21C597860A405549371D4A0E6A5247B0xEv8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A3A54A2A37D81D48BB1F8717BA8F50CB952770343C58128D2139B83E94536754B9770140932BCAC7DC1A441C1E38014812745259B0EB0CxFv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A3A54A2A37D81D48BB1F8717BA8F50CB952770343C58128D2139B83E94536754B97702439A21C597860A405549371D4A0E6A5247B0xEv8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nsultant.ru/document/cons_doc_LAW_388926/61657e3f731b9c26e662efa54b60c51fd48fded0/"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140932BCAC7DC1A441C1E38014812745259B0EB0CxFvC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91153-D8D0-421F-8C09-182586EFC4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12</Pages>
  <Words>4432</Words>
  <Characters>25265</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29638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32</cp:revision>
  <cp:lastPrinted>2023-06-06T12:40:00Z</cp:lastPrinted>
  <dcterms:created xsi:type="dcterms:W3CDTF">2022-05-20T09:00:00Z</dcterms:created>
  <dcterms:modified xsi:type="dcterms:W3CDTF">2023-06-06T12:42:00Z</dcterms:modified>
</cp:coreProperties>
</file>