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FA002E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6E41943" w:rsidR="00DE6398" w:rsidRDefault="00DE6398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C03C6" w:rsidRPr="004C03C6">
        <w:rPr>
          <w:rFonts w:eastAsia="Calibri"/>
          <w:sz w:val="24"/>
          <w:szCs w:val="24"/>
          <w:lang w:eastAsia="ar-SA"/>
        </w:rPr>
        <w:t>серверного оборудования</w:t>
      </w:r>
      <w:r w:rsidR="004C03C6">
        <w:rPr>
          <w:rFonts w:eastAsia="Calibri"/>
          <w:sz w:val="24"/>
          <w:szCs w:val="24"/>
          <w:lang w:eastAsia="ar-SA"/>
        </w:rPr>
        <w:br/>
      </w:r>
    </w:p>
    <w:p w14:paraId="390CFA3E" w14:textId="77777777" w:rsidR="004C03C6" w:rsidRPr="00FA002E" w:rsidRDefault="004C03C6" w:rsidP="004C03C6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</w:p>
    <w:p w14:paraId="79EF7ADE" w14:textId="77777777" w:rsidR="00DE6398" w:rsidRPr="00FA002E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6AB3E95A" w14:textId="07AA05FF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серверного оборудования </w:t>
      </w:r>
    </w:p>
    <w:bookmarkEnd w:id="0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20B4B545" w:rsidR="0050357D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1" w:name="_Hlk196398645"/>
      <w:r w:rsidR="004C03C6" w:rsidRPr="004C03C6">
        <w:rPr>
          <w:rFonts w:eastAsia="Times New Roman"/>
          <w:sz w:val="24"/>
          <w:szCs w:val="24"/>
          <w:lang w:eastAsia="ru-RU"/>
        </w:rPr>
        <w:t xml:space="preserve">серверного оборудования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1"/>
    <w:p w14:paraId="6DA2173B" w14:textId="7F0F306C" w:rsidR="00B66ED7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поставляемых товаров: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27A83C2" w:rsidR="00B66ED7" w:rsidRPr="00FA002E" w:rsidRDefault="00B66ED7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3F8BD107" w14:textId="77777777" w:rsidR="004C03C6" w:rsidRDefault="004C03C6" w:rsidP="004C03C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2" w:name="_Hlk196398672"/>
      <w:r w:rsidRPr="004C03C6">
        <w:rPr>
          <w:rFonts w:eastAsia="Times New Roman"/>
          <w:sz w:val="24"/>
          <w:szCs w:val="24"/>
          <w:lang w:eastAsia="ru-RU"/>
        </w:rPr>
        <w:t>Код по ОКПД 2: 26.20.14.120 - Серверы (однопроцессорные, двухпроцессорные)</w:t>
      </w:r>
      <w:r>
        <w:rPr>
          <w:rFonts w:eastAsia="Times New Roman"/>
          <w:sz w:val="24"/>
          <w:szCs w:val="24"/>
          <w:lang w:eastAsia="ru-RU"/>
        </w:rPr>
        <w:t>,</w:t>
      </w:r>
    </w:p>
    <w:p w14:paraId="01E312D2" w14:textId="71DEC5E4" w:rsidR="0050357D" w:rsidRPr="00FA002E" w:rsidRDefault="004C03C6" w:rsidP="004C03C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E18AE">
        <w:rPr>
          <w:rFonts w:eastAsia="Times New Roman"/>
          <w:i/>
          <w:sz w:val="24"/>
          <w:szCs w:val="24"/>
          <w:lang w:eastAsia="ru-RU"/>
        </w:rPr>
        <w:t>КТРУ 26.20.14.000-00000189-Сервер</w:t>
      </w:r>
      <w:r w:rsidR="00B66ED7" w:rsidRPr="00FA002E">
        <w:rPr>
          <w:rFonts w:eastAsia="Times New Roman"/>
          <w:sz w:val="24"/>
          <w:szCs w:val="24"/>
          <w:lang w:eastAsia="ru-RU"/>
        </w:rPr>
        <w:t>.</w:t>
      </w:r>
    </w:p>
    <w:bookmarkEnd w:id="2"/>
    <w:p w14:paraId="01019738" w14:textId="5FC9481D" w:rsidR="00B66ED7" w:rsidRPr="00FA002E" w:rsidRDefault="0050357D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Перечень и количество поставляемого товара: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общее количество поставляемого </w:t>
      </w:r>
      <w:r w:rsidR="00E80E1B">
        <w:rPr>
          <w:rFonts w:eastAsia="Calibri"/>
          <w:sz w:val="24"/>
          <w:szCs w:val="24"/>
          <w:lang w:eastAsia="ar-SA"/>
        </w:rPr>
        <w:t>Т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овара </w:t>
      </w:r>
      <w:r w:rsidR="00E80E1B">
        <w:rPr>
          <w:rFonts w:eastAsia="Calibri"/>
          <w:sz w:val="24"/>
          <w:szCs w:val="24"/>
          <w:lang w:eastAsia="ar-SA"/>
        </w:rPr>
        <w:t>4 (</w:t>
      </w:r>
      <w:r w:rsidR="004C03C6">
        <w:rPr>
          <w:rFonts w:eastAsia="Calibri"/>
          <w:sz w:val="24"/>
          <w:szCs w:val="24"/>
          <w:lang w:eastAsia="ar-SA"/>
        </w:rPr>
        <w:t>Ч</w:t>
      </w:r>
      <w:r w:rsidR="00E80E1B">
        <w:rPr>
          <w:rFonts w:eastAsia="Calibri"/>
          <w:sz w:val="24"/>
          <w:szCs w:val="24"/>
          <w:lang w:eastAsia="ar-SA"/>
        </w:rPr>
        <w:t>етыре) штуки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в соответствии с Приложением</w:t>
      </w:r>
      <w:r w:rsidR="004C03C6">
        <w:rPr>
          <w:rFonts w:eastAsia="Calibri"/>
          <w:sz w:val="24"/>
          <w:szCs w:val="24"/>
          <w:lang w:eastAsia="ar-SA"/>
        </w:rPr>
        <w:t xml:space="preserve"> № 1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к </w:t>
      </w:r>
      <w:r w:rsidR="00926676">
        <w:rPr>
          <w:rFonts w:eastAsia="Calibri"/>
          <w:sz w:val="24"/>
          <w:szCs w:val="24"/>
          <w:lang w:eastAsia="ar-SA"/>
        </w:rPr>
        <w:t xml:space="preserve">Техническому заданию </w:t>
      </w:r>
      <w:r w:rsidR="00E80E1B">
        <w:rPr>
          <w:rFonts w:eastAsia="Calibri"/>
          <w:sz w:val="24"/>
          <w:szCs w:val="24"/>
          <w:lang w:eastAsia="ar-SA"/>
        </w:rPr>
        <w:t xml:space="preserve">    </w:t>
      </w:r>
      <w:proofErr w:type="gramStart"/>
      <w:r w:rsidR="00E80E1B">
        <w:rPr>
          <w:rFonts w:eastAsia="Calibri"/>
          <w:sz w:val="24"/>
          <w:szCs w:val="24"/>
          <w:lang w:eastAsia="ar-SA"/>
        </w:rPr>
        <w:t xml:space="preserve">  </w:t>
      </w:r>
      <w:r w:rsidR="00B66ED7" w:rsidRPr="00FA002E">
        <w:rPr>
          <w:rFonts w:eastAsia="Calibri"/>
          <w:sz w:val="24"/>
          <w:szCs w:val="24"/>
          <w:lang w:eastAsia="ar-SA"/>
        </w:rPr>
        <w:t xml:space="preserve"> «</w:t>
      </w:r>
      <w:proofErr w:type="gramEnd"/>
      <w:r w:rsidR="00B66ED7" w:rsidRPr="00FA002E">
        <w:rPr>
          <w:rFonts w:eastAsia="Calibri"/>
          <w:sz w:val="24"/>
          <w:szCs w:val="24"/>
          <w:lang w:eastAsia="ar-SA"/>
        </w:rPr>
        <w:t xml:space="preserve">Спецификация на поставку </w:t>
      </w:r>
      <w:r w:rsidR="004C03C6" w:rsidRPr="004C03C6">
        <w:rPr>
          <w:rFonts w:eastAsia="Calibri"/>
          <w:sz w:val="24"/>
          <w:szCs w:val="24"/>
          <w:lang w:eastAsia="ar-SA"/>
        </w:rPr>
        <w:t>серверного оборудования для нужд ИПУ РАН</w:t>
      </w:r>
      <w:r w:rsidR="00B66ED7" w:rsidRPr="00FA002E">
        <w:rPr>
          <w:rFonts w:eastAsia="Calibri"/>
          <w:sz w:val="24"/>
          <w:szCs w:val="24"/>
          <w:lang w:eastAsia="ar-SA"/>
        </w:rPr>
        <w:t>», являющимся его неотъемлемой частью.</w:t>
      </w:r>
    </w:p>
    <w:p w14:paraId="3512DE5D" w14:textId="77777777" w:rsidR="00B66ED7" w:rsidRPr="00926676" w:rsidRDefault="00B66ED7" w:rsidP="00FA002E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09C6AD2A" w14:textId="77777777" w:rsidR="00FA002E" w:rsidRPr="00FA002E" w:rsidRDefault="00FA002E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3" w:name="_Hlk196398791"/>
      <w:r w:rsidRPr="00FA002E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FA002E">
        <w:rPr>
          <w:rFonts w:eastAsia="Calibri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FA002E">
        <w:rPr>
          <w:rFonts w:eastAsia="Calibri"/>
          <w:sz w:val="24"/>
          <w:szCs w:val="24"/>
          <w:lang w:eastAsia="ar-SA"/>
        </w:rPr>
        <w:br/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</w:p>
    <w:p w14:paraId="11969CCA" w14:textId="77777777" w:rsidR="00FA002E" w:rsidRPr="00FA002E" w:rsidRDefault="00FA002E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Поставляемый Товар должен соответствовать действующим в Российской Федерации стандартам.</w:t>
      </w:r>
    </w:p>
    <w:p w14:paraId="786A2321" w14:textId="77777777" w:rsidR="00FA002E" w:rsidRPr="00FA002E" w:rsidRDefault="00FA002E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новым, (товаром, который не был в употреблении, </w:t>
      </w:r>
      <w:r w:rsidRPr="00FA002E">
        <w:rPr>
          <w:rFonts w:eastAsia="Calibri"/>
          <w:sz w:val="24"/>
          <w:szCs w:val="24"/>
          <w:lang w:eastAsia="ar-SA"/>
        </w:rPr>
        <w:br/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со стандартами качества.</w:t>
      </w:r>
    </w:p>
    <w:p w14:paraId="321BC00D" w14:textId="77777777" w:rsidR="00FA002E" w:rsidRPr="00FA002E" w:rsidRDefault="00FA002E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2DACA0AE" w14:textId="77777777" w:rsidR="00FA002E" w:rsidRPr="00FA002E" w:rsidRDefault="00FA002E" w:rsidP="00FA002E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78C5F2BB" w14:textId="77777777" w:rsidR="004C03C6" w:rsidRDefault="00FA002E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 xml:space="preserve">Товар должен поставляться в упаковке и/или таре, обеспечивающей его сохранность, при </w:t>
      </w:r>
      <w:r w:rsidR="004C03C6" w:rsidRPr="004C03C6">
        <w:rPr>
          <w:rFonts w:eastAsia="Calibri"/>
          <w:sz w:val="24"/>
          <w:szCs w:val="24"/>
          <w:lang w:eastAsia="ar-SA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7F2D4CFE" w14:textId="77777777" w:rsid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соответствовать действующим в Российской Федерации стандартам.</w:t>
      </w:r>
    </w:p>
    <w:p w14:paraId="16B5239B" w14:textId="27BF70A2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новым, (товаром,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4C03C6">
        <w:rPr>
          <w:rFonts w:eastAsia="Calibri"/>
          <w:sz w:val="24"/>
          <w:szCs w:val="24"/>
          <w:lang w:eastAsia="ar-SA"/>
        </w:rPr>
        <w:t xml:space="preserve">со стандартами качества.       </w:t>
      </w:r>
    </w:p>
    <w:p w14:paraId="3E23B9C4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lastRenderedPageBreak/>
        <w:t xml:space="preserve"> 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14:paraId="7B9A607A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6C742513" w14:textId="0FDCA79B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4C03C6">
        <w:rPr>
          <w:rFonts w:eastAsia="Calibri"/>
          <w:sz w:val="24"/>
          <w:szCs w:val="24"/>
          <w:lang w:eastAsia="ar-SA"/>
        </w:rPr>
        <w:t>осуществляется поставка.</w:t>
      </w:r>
    </w:p>
    <w:p w14:paraId="3EBF3460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Поставка Товара осуществляется по адресу: </w:t>
      </w:r>
      <w:r w:rsidRPr="004C03C6">
        <w:rPr>
          <w:rFonts w:eastAsia="Calibri"/>
          <w:b/>
          <w:sz w:val="24"/>
          <w:szCs w:val="24"/>
          <w:lang w:eastAsia="ar-SA"/>
        </w:rPr>
        <w:t xml:space="preserve">117997, г. Москва, ул. Профсоюзная, д.65, ИПУ РАН. </w:t>
      </w:r>
    </w:p>
    <w:p w14:paraId="391F96A7" w14:textId="400A330A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2B4902F0" w14:textId="6ACD2F4D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«О безопасности упаковки», межгосударственный стандарт ГОСТ 17527-2020 «Упаковка. Термины и определения».</w:t>
      </w:r>
    </w:p>
    <w:p w14:paraId="17A2CB00" w14:textId="7F241AA5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B527313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14:paraId="051582F6" w14:textId="271F1764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54DCFCA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4C03C6">
        <w:rPr>
          <w:rFonts w:eastAsia="Calibri"/>
          <w:sz w:val="24"/>
          <w:szCs w:val="24"/>
          <w:lang w:eastAsia="ar-SA"/>
        </w:rPr>
        <w:tab/>
      </w:r>
    </w:p>
    <w:p w14:paraId="3529499B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36 месяцев с даты подписания документа о приемке.</w:t>
      </w:r>
    </w:p>
    <w:p w14:paraId="0BF99541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0DF9F35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DEB5766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8849ECC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lastRenderedPageBreak/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14:paraId="42CCED09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быть экологически чистым, безопасным для здоровья человека.</w:t>
      </w:r>
    </w:p>
    <w:p w14:paraId="4AAE4A3C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1B62C314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14:paraId="36E2A398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450AAD55" w14:textId="6755B2F3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  <w:r>
        <w:rPr>
          <w:rFonts w:eastAsia="Calibri"/>
          <w:sz w:val="24"/>
          <w:szCs w:val="24"/>
          <w:lang w:eastAsia="ar-SA"/>
        </w:rPr>
        <w:br/>
      </w:r>
      <w:r w:rsidRPr="004C03C6">
        <w:rPr>
          <w:rFonts w:eastAsia="Calibri"/>
          <w:sz w:val="24"/>
          <w:szCs w:val="24"/>
          <w:lang w:eastAsia="ar-SA"/>
        </w:rPr>
        <w:t>от 16 августа 2011 года № 768;</w:t>
      </w:r>
    </w:p>
    <w:p w14:paraId="45A87244" w14:textId="77777777" w:rsidR="004C03C6" w:rsidRPr="004C03C6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 xml:space="preserve"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14:paraId="4A1B0610" w14:textId="6A34731E" w:rsidR="0050357D" w:rsidRPr="00FA002E" w:rsidRDefault="004C03C6" w:rsidP="004C03C6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4C03C6">
        <w:rPr>
          <w:rFonts w:eastAsia="Calibri"/>
          <w:sz w:val="24"/>
          <w:szCs w:val="24"/>
          <w:lang w:eastAsia="ar-SA"/>
        </w:rPr>
        <w:t>- Технического регламента Таможенного союза ТР ЕАЭС 037/2016 «Об ограничении применения опасных веществ в изделиях электротехники и радиоэлектроники», принятым Решением Совета Евразийской экономической комиссии от 18 октября 2016 года № 113</w:t>
      </w:r>
      <w:r w:rsidR="00FA002E" w:rsidRPr="00FA002E">
        <w:rPr>
          <w:rFonts w:eastAsia="Calibri"/>
          <w:sz w:val="24"/>
          <w:szCs w:val="24"/>
          <w:lang w:eastAsia="ar-SA"/>
        </w:rPr>
        <w:t>.</w:t>
      </w:r>
    </w:p>
    <w:bookmarkEnd w:id="3"/>
    <w:p w14:paraId="09C4778C" w14:textId="77777777" w:rsidR="0050357D" w:rsidRPr="00926676" w:rsidRDefault="0050357D" w:rsidP="00FA002E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512AE045" w14:textId="6A2E2982" w:rsidR="0050357D" w:rsidRPr="00FA002E" w:rsidRDefault="0050357D" w:rsidP="00FA00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до истечения </w:t>
      </w:r>
      <w:r w:rsidR="004C03C6" w:rsidRPr="004C03C6">
        <w:rPr>
          <w:rFonts w:eastAsia="Times New Roman"/>
          <w:sz w:val="24"/>
          <w:szCs w:val="24"/>
          <w:lang w:eastAsia="ru-RU"/>
        </w:rPr>
        <w:t>60 (</w:t>
      </w:r>
      <w:r w:rsidR="00E91593">
        <w:rPr>
          <w:rFonts w:eastAsia="Times New Roman"/>
          <w:sz w:val="24"/>
          <w:szCs w:val="24"/>
          <w:lang w:eastAsia="ru-RU"/>
        </w:rPr>
        <w:t>Ш</w:t>
      </w:r>
      <w:r w:rsidR="004C03C6" w:rsidRPr="004C03C6">
        <w:rPr>
          <w:rFonts w:eastAsia="Times New Roman"/>
          <w:sz w:val="24"/>
          <w:szCs w:val="24"/>
          <w:lang w:eastAsia="ru-RU"/>
        </w:rPr>
        <w:t>естидесяти)</w:t>
      </w:r>
      <w:r w:rsidR="004C03C6">
        <w:rPr>
          <w:rFonts w:eastAsia="Times New Roman"/>
          <w:sz w:val="24"/>
          <w:szCs w:val="24"/>
          <w:lang w:eastAsia="ru-RU"/>
        </w:rPr>
        <w:t xml:space="preserve"> </w:t>
      </w:r>
      <w:r w:rsidR="00FA002E" w:rsidRPr="00FA002E">
        <w:rPr>
          <w:rFonts w:eastAsia="Times New Roman"/>
          <w:sz w:val="24"/>
          <w:szCs w:val="24"/>
          <w:lang w:eastAsia="ru-RU"/>
        </w:rPr>
        <w:t>календарных дней с даты заключения Контракта</w:t>
      </w:r>
      <w:r w:rsidRPr="00FA002E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77777777" w:rsidR="0050357D" w:rsidRPr="00FA002E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6. </w:t>
      </w:r>
      <w:r w:rsidRPr="00926676">
        <w:rPr>
          <w:rFonts w:eastAsia="Calibri"/>
          <w:b/>
          <w:bCs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zh-CN"/>
        </w:rPr>
        <w:t>:</w:t>
      </w:r>
      <w:r w:rsidRPr="00FA002E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64AC32A0" w14:textId="77777777" w:rsidR="0050357D" w:rsidRPr="00926676" w:rsidRDefault="0050357D" w:rsidP="00FA0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787E2A54" w:rsidR="00410362" w:rsidRPr="00FA002E" w:rsidRDefault="0050357D" w:rsidP="00FA002E">
      <w:pPr>
        <w:spacing w:after="0" w:line="240" w:lineRule="auto"/>
        <w:ind w:right="-2" w:firstLine="567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серверного оборудования для нужд ИПУ РАН </w:t>
      </w:r>
      <w:r w:rsidRPr="00FA002E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1</w:t>
      </w:r>
      <w:r w:rsidRPr="00FA002E">
        <w:rPr>
          <w:rFonts w:eastAsia="Times New Roman"/>
          <w:sz w:val="24"/>
          <w:szCs w:val="24"/>
          <w:lang w:eastAsia="ru-RU"/>
        </w:rPr>
        <w:t xml:space="preserve"> к</w:t>
      </w:r>
      <w:r w:rsidR="00425566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FA002E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FA002E">
        <w:rPr>
          <w:rFonts w:eastAsia="Times New Roman"/>
          <w:sz w:val="24"/>
          <w:szCs w:val="24"/>
          <w:lang w:eastAsia="ru-RU"/>
        </w:rPr>
        <w:t xml:space="preserve">) </w:t>
      </w:r>
      <w:r w:rsidRPr="00FA002E">
        <w:rPr>
          <w:rFonts w:eastAsia="Calibri"/>
          <w:kern w:val="2"/>
          <w:sz w:val="24"/>
          <w:szCs w:val="24"/>
          <w:lang w:eastAsia="ru-RU" w:bidi="hi-IN"/>
        </w:rPr>
        <w:t xml:space="preserve"> 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29DDB419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2624A9F" w14:textId="2F77A68B" w:rsidR="00FA002E" w:rsidRPr="00FA002E" w:rsidRDefault="00FA002E" w:rsidP="00FA002E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  <w:r w:rsidRPr="00FA002E">
        <w:rPr>
          <w:rFonts w:eastAsia="Times New Roman"/>
          <w:sz w:val="24"/>
          <w:szCs w:val="24"/>
          <w:lang w:eastAsia="ru-RU"/>
        </w:rPr>
        <w:t>Зав</w:t>
      </w:r>
      <w:r w:rsidR="00926676">
        <w:rPr>
          <w:rFonts w:eastAsia="Times New Roman"/>
          <w:sz w:val="24"/>
          <w:szCs w:val="24"/>
          <w:lang w:eastAsia="ru-RU"/>
        </w:rPr>
        <w:t>едующий</w:t>
      </w:r>
      <w:r w:rsidRPr="00FA002E">
        <w:rPr>
          <w:rFonts w:eastAsia="Times New Roman"/>
          <w:sz w:val="24"/>
          <w:szCs w:val="24"/>
          <w:lang w:eastAsia="ru-RU"/>
        </w:rPr>
        <w:t xml:space="preserve"> отделом информатизации 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2CD65E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EF885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521B0C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4F6D3344" w:rsidR="0050357D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14:paraId="15D09B6F" w14:textId="3F8A1B5A" w:rsidR="00DE6398" w:rsidRPr="00FA002E" w:rsidRDefault="00DE6398" w:rsidP="004C03C6">
      <w:pPr>
        <w:suppressAutoHyphens/>
        <w:spacing w:after="0" w:line="240" w:lineRule="auto"/>
        <w:ind w:left="6237"/>
        <w:contextualSpacing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="0050357D" w:rsidRPr="00FA002E">
        <w:rPr>
          <w:rFonts w:eastAsia="Calibri"/>
          <w:sz w:val="24"/>
          <w:szCs w:val="24"/>
          <w:lang w:eastAsia="ar-SA"/>
        </w:rPr>
        <w:br/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4C03C6" w:rsidRPr="004C03C6">
        <w:rPr>
          <w:rFonts w:eastAsia="Calibri"/>
          <w:sz w:val="24"/>
          <w:szCs w:val="24"/>
          <w:lang w:eastAsia="ar-SA"/>
        </w:rPr>
        <w:t xml:space="preserve">серверного оборудования 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7B6B68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40D45C9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215BE56F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4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4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серверного оборудования </w:t>
      </w:r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FA002E" w14:paraId="0E488475" w14:textId="77777777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604F38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C261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DCE85" w14:textId="77777777" w:rsidR="001A52F8" w:rsidRPr="00FA002E" w:rsidRDefault="001A52F8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A002E" w:rsidRPr="00FA002E" w14:paraId="10E81B21" w14:textId="77777777" w:rsidTr="00FA002E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F0E4291" w14:textId="77777777" w:rsidR="00FA002E" w:rsidRPr="00FA002E" w:rsidRDefault="00FA002E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1C61C9" w14:textId="7749DA8D" w:rsidR="00FA002E" w:rsidRPr="00FA002E" w:rsidRDefault="004C03C6" w:rsidP="00FA002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Сервер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E01CD6" w14:textId="238975FF" w:rsidR="00FA002E" w:rsidRPr="00FA002E" w:rsidRDefault="00FA002E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002E">
              <w:rPr>
                <w:sz w:val="24"/>
                <w:szCs w:val="24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BEF5CA" w14:textId="5B54B0E9" w:rsidR="00FA002E" w:rsidRPr="00FA002E" w:rsidRDefault="004C03C6" w:rsidP="00FA002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17EAC3A" w14:textId="2F09B805" w:rsidR="00DE6398" w:rsidRPr="00FA002E" w:rsidRDefault="00FA002E" w:rsidP="00FA002E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Зав. отделом информатизации </w:t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</w:r>
      <w:r w:rsidRPr="00FA002E">
        <w:rPr>
          <w:rFonts w:eastAsia="Times New Roman"/>
          <w:sz w:val="24"/>
          <w:szCs w:val="24"/>
          <w:lang w:eastAsia="ru-RU"/>
        </w:rPr>
        <w:tab/>
        <w:t xml:space="preserve">          С.Б. Григорьев</w:t>
      </w:r>
    </w:p>
    <w:p w14:paraId="23A215AC" w14:textId="77777777" w:rsidR="00DE6398" w:rsidRPr="00FA002E" w:rsidRDefault="00DE6398" w:rsidP="00FA002E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1C2630D7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02C7B48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B66ED7">
          <w:footerReference w:type="default" r:id="rId6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lastRenderedPageBreak/>
        <w:t xml:space="preserve">Приложение № 2 к Техническому заданию </w:t>
      </w:r>
    </w:p>
    <w:p w14:paraId="7738381A" w14:textId="3472EECC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4C03C6" w:rsidRPr="004C03C6">
        <w:rPr>
          <w:rFonts w:eastAsia="Times New Roman"/>
          <w:sz w:val="24"/>
          <w:szCs w:val="24"/>
          <w:lang w:eastAsia="ru-RU"/>
        </w:rPr>
        <w:t xml:space="preserve">серверного оборудования 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453C3482" w14:textId="378F0E18" w:rsidR="00A7096D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002E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овара, его безопасности,</w:t>
      </w:r>
      <w:r w:rsidR="004C03C6">
        <w:rPr>
          <w:rFonts w:eastAsia="Times New Roman"/>
          <w:sz w:val="24"/>
          <w:szCs w:val="24"/>
        </w:rPr>
        <w:t xml:space="preserve"> </w:t>
      </w:r>
      <w:r w:rsidRPr="00FA002E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</w:t>
      </w:r>
    </w:p>
    <w:p w14:paraId="061C7E4C" w14:textId="0E25D958" w:rsidR="00410167" w:rsidRDefault="00410167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B879735" w14:textId="77777777" w:rsidR="00410167" w:rsidRPr="00410167" w:rsidRDefault="00410167" w:rsidP="00410167">
      <w:pPr>
        <w:overflowPunct w:val="0"/>
        <w:spacing w:after="0" w:line="240" w:lineRule="auto"/>
        <w:ind w:right="120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410167">
        <w:rPr>
          <w:rFonts w:eastAsia="Times New Roman"/>
          <w:kern w:val="2"/>
          <w:sz w:val="24"/>
          <w:szCs w:val="24"/>
          <w:lang w:eastAsia="zh-CN" w:bidi="hi-IN"/>
        </w:rPr>
        <w:t>Весь товар по своим функциональным и техническим характеристикам должен соответствовать нижеперечисленным требованиям или превосходить их.</w:t>
      </w:r>
    </w:p>
    <w:p w14:paraId="31B7479B" w14:textId="31D3CF70" w:rsidR="0050357D" w:rsidRDefault="0050357D" w:rsidP="004C03C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4926" w:type="pct"/>
        <w:tblInd w:w="137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4"/>
        <w:gridCol w:w="1711"/>
        <w:gridCol w:w="3821"/>
        <w:gridCol w:w="2267"/>
        <w:gridCol w:w="1710"/>
        <w:gridCol w:w="2980"/>
      </w:tblGrid>
      <w:tr w:rsidR="004C03C6" w:rsidRPr="004C03C6" w14:paraId="00B54CF0" w14:textId="77777777" w:rsidTr="00410167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3C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zh-CN" w:bidi="hi-IN"/>
              </w:rPr>
            </w:pPr>
            <w:r w:rsidRPr="004C03C6">
              <w:rPr>
                <w:rFonts w:eastAsia="SimSun"/>
                <w:bCs/>
                <w:sz w:val="22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5E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2"/>
                <w:lang w:eastAsia="zh-CN" w:bidi="hi-IN"/>
              </w:rPr>
            </w:pPr>
            <w:r w:rsidRPr="004C03C6">
              <w:rPr>
                <w:rFonts w:eastAsia="SimSun"/>
                <w:bCs/>
                <w:sz w:val="22"/>
              </w:rPr>
              <w:t>Наименование товара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305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64C2" w14:textId="77777777" w:rsidR="004C03C6" w:rsidRPr="004C03C6" w:rsidRDefault="004C03C6" w:rsidP="004C03C6">
            <w:pPr>
              <w:suppressAutoHyphens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Наименование характеристики/</w:t>
            </w:r>
          </w:p>
          <w:p w14:paraId="3488103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C81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Значение характеристики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BA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Обоснование включения дополнительных требований товара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A30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bCs/>
                <w:sz w:val="22"/>
              </w:rPr>
            </w:pPr>
            <w:r w:rsidRPr="004C03C6">
              <w:rPr>
                <w:rFonts w:eastAsia="SimSun"/>
                <w:bCs/>
                <w:sz w:val="22"/>
              </w:rPr>
              <w:t>Инструкция по заполнению характеристики в заявке</w:t>
            </w:r>
          </w:p>
        </w:tc>
      </w:tr>
      <w:tr w:rsidR="004C03C6" w:rsidRPr="004C03C6" w14:paraId="257722A2" w14:textId="77777777" w:rsidTr="0041016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20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CF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D5E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16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44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482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2D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bCs/>
                <w:i/>
                <w:iCs/>
                <w:w w:val="99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4C03C6" w:rsidRPr="004C03C6" w14:paraId="2F1A7F77" w14:textId="77777777" w:rsidTr="00410167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5EB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7A3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Сервер</w:t>
            </w:r>
          </w:p>
          <w:p w14:paraId="0F7845A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14140D6E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ОКПД2: </w:t>
            </w:r>
          </w:p>
          <w:p w14:paraId="6053E391" w14:textId="04C0A92B" w:rsidR="004C03C6" w:rsidRDefault="00AF756F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26.20.14.120</w:t>
            </w:r>
            <w:r w:rsidR="004C03C6" w:rsidRPr="004C03C6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–</w:t>
            </w:r>
          </w:p>
          <w:p w14:paraId="2F03E281" w14:textId="6070D0AD" w:rsidR="00AF756F" w:rsidRPr="004C03C6" w:rsidRDefault="00AF756F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AF756F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Серверы (однопроцессорные, двухпроцессорные),</w:t>
            </w:r>
            <w:bookmarkStart w:id="5" w:name="_GoBack"/>
            <w:bookmarkEnd w:id="5"/>
          </w:p>
          <w:p w14:paraId="0D4E0AC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  <w:p w14:paraId="05FFD9E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bookmarkStart w:id="6" w:name="_Hlk52478729"/>
            <w:r w:rsidRPr="004C03C6">
              <w:rPr>
                <w:rFonts w:eastAsia="SimSun" w:cs="Mangal"/>
                <w:bCs/>
                <w:kern w:val="2"/>
                <w:sz w:val="24"/>
                <w:szCs w:val="24"/>
                <w:lang w:eastAsia="zh-CN" w:bidi="hi-IN"/>
              </w:rPr>
              <w:t>КТРУ</w:t>
            </w:r>
            <w:r w:rsidRPr="004C03C6">
              <w:rPr>
                <w:rFonts w:eastAsia="SimSun" w:hint="eastAsia"/>
                <w:bCs/>
                <w:kern w:val="2"/>
                <w:sz w:val="24"/>
                <w:szCs w:val="24"/>
                <w:lang w:eastAsia="zh-CN" w:bidi="hi-IN"/>
              </w:rPr>
              <w:t>:</w:t>
            </w:r>
          </w:p>
          <w:bookmarkEnd w:id="6"/>
          <w:p w14:paraId="4357E89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 w:hint="eastAsia"/>
                <w:kern w:val="2"/>
                <w:sz w:val="24"/>
                <w:szCs w:val="24"/>
                <w:lang w:val="en-US" w:eastAsia="ru-RU" w:bidi="hi-IN"/>
              </w:rPr>
              <w:t>26.20.14.000-00000189</w:t>
            </w:r>
            <w:r w:rsidRPr="004C03C6">
              <w:rPr>
                <w:rFonts w:eastAsia="Times New Roman"/>
                <w:kern w:val="2"/>
                <w:sz w:val="24"/>
                <w:szCs w:val="24"/>
                <w:lang w:eastAsia="ru-RU" w:bidi="hi-IN"/>
              </w:rPr>
              <w:t>-Сервер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32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67C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Количество установленных процессоров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,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F12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≥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E69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1A0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6575958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CFAC" w14:textId="431538F8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25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8A8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5F7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Максимальное количество процессоров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19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≥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4AA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271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1C86ADFE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583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84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A0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3BC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Cистема удаленного управления сервером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63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BEF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CD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58B4F675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A85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CF6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7CC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AB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Аппаратная поддержка виртуализации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376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4F5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D69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42F21717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C8A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D34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3D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83D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Аппаратное дублирование системы удаленного управления (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BMC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 сервером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208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91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A1F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48046595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F5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86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4E9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A4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Базовая частота каждого установленного процессора (без учета технологии динамического изменения частоты), Гигагерц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96C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051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2BE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Calibri" w:eastAsia="Times New Roman" w:hAnsi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79695AA7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A1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A2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D2C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92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Возможность установки плат стандарта PCIe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DA1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3E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5BC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6B46FC8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A5B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5D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52D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45F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Выделенные порты удалённого управления сервером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78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CEC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616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7F4603AB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15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6DA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63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305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Интерфейс поддерживаемых накопителей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A11" w14:textId="2A69835F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M.2, NVMe, PCIe, SATA, USB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8C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62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6E62CD05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C0D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E37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A45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D84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Интерфейс подключения накопителей информации к дисковому контроллеру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B4C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SATA, NVMe, SAS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F9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322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6C20CA6C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244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0A7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2ED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C5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Интерфейс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установленных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накопителей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5F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44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44C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7CED69BE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8C6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B00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B72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53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kern w:val="2"/>
                <w:sz w:val="24"/>
                <w:szCs w:val="24"/>
                <w:lang w:eastAsia="ru-RU" w:bidi="hi-IN"/>
              </w:rPr>
              <w:t xml:space="preserve">Количество </w:t>
            </w:r>
            <w:r w:rsidRPr="004C03C6">
              <w:rPr>
                <w:rFonts w:eastAsia="Times New Roman"/>
                <w:kern w:val="2"/>
                <w:sz w:val="24"/>
                <w:szCs w:val="24"/>
                <w:lang w:val="en-US" w:eastAsia="ru-RU" w:bidi="hi-IN"/>
              </w:rPr>
              <w:t>SFF</w:t>
            </w:r>
            <w:r w:rsidRPr="004C03C6">
              <w:rPr>
                <w:rFonts w:eastAsia="Times New Roman"/>
                <w:kern w:val="2"/>
                <w:sz w:val="24"/>
                <w:szCs w:val="24"/>
                <w:lang w:eastAsia="ru-RU" w:bidi="hi-IN"/>
              </w:rPr>
              <w:t xml:space="preserve"> (2,5) слотов для накопителей на лицевой панели,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BD6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4C03C6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6F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F1D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7C14962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76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548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65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204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SFF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-8654 4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i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портов,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437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403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DD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6025C94D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5C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1ED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4FD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8E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SFF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-8654 8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i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портов,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15A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A12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ED1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5E901187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6B1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015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D0E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2DD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USB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3.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x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портов,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AD7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FEA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196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07C9732A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01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B8A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D34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6B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занимаемых юнитов в стойке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0FE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≤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3E8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A35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269B6F4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BFF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38E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FE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8A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потоков каждого установленного процессора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99D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D42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B59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486A20CC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789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43C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3A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930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сетевых портов (тип 1) 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DDE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3AB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B8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69398273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14A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ABF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50F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6D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слотов для модулей оперативной памяти,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2E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29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711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4A0F2FA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77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047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47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F2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Количество слотов для установки плат расширения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PCIe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x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16,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62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F73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9F6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40FC64E2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72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D2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EFB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AF5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установленных блоков питания с поддержкой горячей замены, шт.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A75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6D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CB7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5EA107CA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03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6D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DDE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AD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установленных модулей оперативной памяти,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97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4C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CB9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89EB838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C97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C87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50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BB4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установленных накопителей (тип 1),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072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43A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1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155FCBEF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35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9FA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F2E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AD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установленных накопителей (тип 1) с поддержкой горячей замены,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32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6C3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5A4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6162F30A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5DC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64F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0B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4BA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Количество ядер каждого установленного процессора,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34D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14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214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73EB196A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BAB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65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A69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8CE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Максимальное количество накопителей в корпусе, Штука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3A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DA4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BA2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5206E982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5C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63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77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6C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4F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8192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DC2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41F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28C874A2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FF1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72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7F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436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Мощность системы охлаждения сервера, Ватт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153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5A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59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7329C8D5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25A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18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A1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71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Наличие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интегрированного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видеоадаптера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F7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559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CD9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0E85437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F5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B45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99D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7DB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Наличие направляющих для установки в шкаф телекоммуникационный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6AB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CB0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EC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1C274736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3C5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49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3D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3CC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Наличие установленного аппаратного дискового контроллера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988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03E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AFD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1C97256E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B6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3A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6A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E3A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Номинальная мощность одного блока питания, Ватт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D1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1300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C2B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C5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4B3EDCC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84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8CC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A36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30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Объем каждого установленного модуля оперативной памяти, Гигабайт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9A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7F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AAF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0A09CE7D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6EC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563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E72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B02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Объем каждого установленного накопителя (тип 1), Гигабайт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C9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1200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0BD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F1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06A8FD54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4FA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778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CA5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94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Объем кэш памяти третьего уровня (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L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3) каждого установленного процессора, Мегабайт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60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≥ 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7B9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98D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650EE010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250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3F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CA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64E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Объем кэш-памяти установленного дискового контроллера, Гигабайт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874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AF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2B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52A93FD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BEC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940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1C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10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Поддерживаемые дисковым контроллером типы RAID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201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0, 1, 10, 5, 50, 6, 60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63A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DB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3CBFB501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4BC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43B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F02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2F5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Поддерживаемые протоколы сетевого порта (тип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2E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99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86F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14B32186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CA3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AA0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459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39F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Поддержка функции обнаружения и коррекции ошибок в оперативной памяти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A6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5EE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8D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5516810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DB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CE0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EE1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517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Сервисные или вспомогательные разъемы подключения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D29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CF1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A4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6095B9ED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A6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67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0E7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635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Скорость вращения дисков в накопителе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HDD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SSHD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(тип 1), Оборот в минуту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41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10000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69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D5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3A7DAAEF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B03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04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6A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F97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Скорость передачи данных каждого установленного модуля оперативной памяти, МТ/с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2FC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4500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DD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57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1A84FFF1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87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8EA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67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B69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Скорость сетевого порта 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Ethernet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(тип 1), Гигабит в секунду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C72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C00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EA7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Times New Roman" w:hAnsi="Liberation Serif" w:cs="Mangal"/>
                <w:i/>
                <w:kern w:val="2"/>
                <w:sz w:val="22"/>
                <w:szCs w:val="24"/>
                <w:lang w:eastAsia="ru-RU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4C03C6" w:rsidRPr="004C03C6" w14:paraId="66B9D5A7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82E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087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21B0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FF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Тип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корпуса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B93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124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13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3F458C6F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51F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D7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5E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6C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 оперативной памяти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A54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DDR5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8E36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5E2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7FC2F21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5EF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A92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6BE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46E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размещения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USB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портов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BD91" w14:textId="777A7E39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Внутренний,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задней панели,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передней панели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B5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2EB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6DDD665F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92F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8DCE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8B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7F5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 сервера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E86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Стоечный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0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4CA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7A5C30F3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38F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EF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0936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3CE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 среды передачи для сетевого порта (тип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D0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Медь-витая пара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425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55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408AEAFF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C54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F6F4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76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E9E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установленных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накопителей </w:t>
            </w:r>
          </w:p>
          <w:p w14:paraId="112E14B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(</w:t>
            </w: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тип</w:t>
            </w:r>
            <w:r w:rsidRPr="004C03C6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965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E28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E54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3A128641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0032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438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335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682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Уровень резервирования установленных блоков охлаждения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44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N+2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E2C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D07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27CA0F9B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2C6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00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17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932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Уровень резервирования установленных блоков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B12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26A5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5CF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509E19A0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81E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78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35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A13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Функциональность контроллера дистанционного мониторинга и управления: 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AC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03C6" w:rsidRPr="004C03C6" w14:paraId="7EEF6E79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059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C4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406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B91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Автоматическое уведомление о событиях по электронной почте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21F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D76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707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37DA81BD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067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4D2A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0BB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B367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Видеозапись с экрана действий администратора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4C5F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48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3C9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59CFA2EE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66D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A78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8CD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92C9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Доступ к основным характеристикам, состоянию сервера и установленных устройств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1211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095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2F7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1C15D91B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5A1B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88E3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675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AFC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Обеспечение перенаправления графической консоли по сети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29E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2B87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51D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1A2FF52C" w14:textId="77777777" w:rsidTr="00410167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A60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78C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E747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86914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Поддержка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  <w:t xml:space="preserve"> 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веб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  <w:t>-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интерфейса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1FC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96B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B7F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  <w:tr w:rsidR="004C03C6" w:rsidRPr="004C03C6" w14:paraId="02CA6AA2" w14:textId="77777777" w:rsidTr="00410167">
        <w:trPr>
          <w:trHeight w:val="10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5C7F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40DE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3821" w14:textId="77777777" w:rsidR="004C03C6" w:rsidRPr="004C03C6" w:rsidRDefault="004C03C6" w:rsidP="004C03C6">
            <w:pPr>
              <w:overflowPunct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54C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Подключение виртуальных медиа-устройств через консоль удаленного управления, в том числе образов дисков (файлов 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val="en-US" w:eastAsia="ru-RU" w:bidi="hi-IN"/>
              </w:rPr>
              <w:t>ISO</w:t>
            </w:r>
            <w:r w:rsidRPr="004C03C6">
              <w:rPr>
                <w:rFonts w:eastAsia="Times New Roman"/>
                <w:color w:val="000000"/>
                <w:kern w:val="2"/>
                <w:sz w:val="24"/>
                <w:szCs w:val="24"/>
                <w:lang w:eastAsia="ru-RU" w:bidi="hi-I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3E00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03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543A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 соответствии с КТРУ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00D3" w14:textId="77777777" w:rsidR="004C03C6" w:rsidRPr="004C03C6" w:rsidRDefault="004C03C6" w:rsidP="004C03C6">
            <w:pPr>
              <w:overflowPunct w:val="0"/>
              <w:spacing w:after="0" w:line="240" w:lineRule="auto"/>
              <w:jc w:val="center"/>
              <w:rPr>
                <w:rFonts w:eastAsia="Calibri"/>
                <w:kern w:val="2"/>
                <w:sz w:val="24"/>
                <w:szCs w:val="24"/>
                <w:lang w:eastAsia="zh-CN" w:bidi="hi-IN"/>
              </w:rPr>
            </w:pPr>
            <w:r w:rsidRPr="004C03C6">
              <w:rPr>
                <w:rFonts w:eastAsia="Calibri"/>
                <w:i/>
                <w:kern w:val="2"/>
                <w:sz w:val="24"/>
                <w:szCs w:val="24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</w:tr>
    </w:tbl>
    <w:p w14:paraId="57623288" w14:textId="77777777" w:rsidR="004C03C6" w:rsidRPr="00FA002E" w:rsidRDefault="004C03C6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sectPr w:rsidR="004C03C6" w:rsidRPr="00FA002E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B965" w14:textId="77777777" w:rsidR="00407A8E" w:rsidRDefault="00407A8E" w:rsidP="00DE6398">
      <w:pPr>
        <w:spacing w:after="0" w:line="240" w:lineRule="auto"/>
      </w:pPr>
      <w:r>
        <w:separator/>
      </w:r>
    </w:p>
  </w:endnote>
  <w:endnote w:type="continuationSeparator" w:id="0">
    <w:p w14:paraId="344CDA9B" w14:textId="77777777" w:rsidR="00407A8E" w:rsidRDefault="00407A8E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AF756F">
          <w:rPr>
            <w:rFonts w:ascii="Arial" w:hAnsi="Arial" w:cs="Arial"/>
            <w:noProof/>
            <w:sz w:val="20"/>
            <w:szCs w:val="20"/>
          </w:rPr>
          <w:t>7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E7E7" w14:textId="77777777" w:rsidR="00407A8E" w:rsidRDefault="00407A8E" w:rsidP="00DE6398">
      <w:pPr>
        <w:spacing w:after="0" w:line="240" w:lineRule="auto"/>
      </w:pPr>
      <w:r>
        <w:separator/>
      </w:r>
    </w:p>
  </w:footnote>
  <w:footnote w:type="continuationSeparator" w:id="0">
    <w:p w14:paraId="429C7E26" w14:textId="77777777" w:rsidR="00407A8E" w:rsidRDefault="00407A8E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276B24"/>
    <w:rsid w:val="002B1D37"/>
    <w:rsid w:val="003167C0"/>
    <w:rsid w:val="00407A8E"/>
    <w:rsid w:val="00410167"/>
    <w:rsid w:val="00410362"/>
    <w:rsid w:val="00425566"/>
    <w:rsid w:val="004C03C6"/>
    <w:rsid w:val="004D649D"/>
    <w:rsid w:val="0050357D"/>
    <w:rsid w:val="00592B0B"/>
    <w:rsid w:val="00676FA9"/>
    <w:rsid w:val="006E18AE"/>
    <w:rsid w:val="00846A55"/>
    <w:rsid w:val="00853FBA"/>
    <w:rsid w:val="008C63B6"/>
    <w:rsid w:val="00926676"/>
    <w:rsid w:val="00A7096D"/>
    <w:rsid w:val="00AD32BA"/>
    <w:rsid w:val="00AE340E"/>
    <w:rsid w:val="00AF756F"/>
    <w:rsid w:val="00B66ED7"/>
    <w:rsid w:val="00BD27EF"/>
    <w:rsid w:val="00C3526E"/>
    <w:rsid w:val="00DE6398"/>
    <w:rsid w:val="00E80E1B"/>
    <w:rsid w:val="00E91593"/>
    <w:rsid w:val="00FA002E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2025-06-10T14:23:00Z</cp:lastPrinted>
  <dcterms:created xsi:type="dcterms:W3CDTF">2025-05-11T12:34:00Z</dcterms:created>
  <dcterms:modified xsi:type="dcterms:W3CDTF">2025-06-10T14:23:00Z</dcterms:modified>
</cp:coreProperties>
</file>