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52" w:rsidRDefault="001B5752">
      <w:pPr>
        <w:pStyle w:val="ConsPlusNormal"/>
        <w:jc w:val="center"/>
        <w:rPr>
          <w:sz w:val="24"/>
          <w:szCs w:val="24"/>
        </w:rPr>
      </w:pPr>
    </w:p>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D2151A" w:rsidRDefault="00403AA9" w:rsidP="00AF2F02">
      <w:pPr>
        <w:pStyle w:val="ConsPlusNormal"/>
        <w:jc w:val="center"/>
        <w:rPr>
          <w:b/>
          <w:bCs/>
          <w:color w:val="000000"/>
          <w:sz w:val="24"/>
          <w:szCs w:val="24"/>
          <w:shd w:val="clear" w:color="auto" w:fill="FFFFFF"/>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AF2F02" w:rsidRPr="00AF2F02">
        <w:rPr>
          <w:b/>
          <w:bCs/>
          <w:color w:val="000000"/>
          <w:sz w:val="24"/>
          <w:szCs w:val="24"/>
          <w:shd w:val="clear" w:color="auto" w:fill="FFFFFF"/>
        </w:rPr>
        <w:t>учебно-демонстрационного оборудования для нужд 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C15BBC"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CF6515" w:rsidP="00654085">
            <w:pPr>
              <w:pStyle w:val="ConsPlusNormal"/>
              <w:rPr>
                <w:sz w:val="24"/>
                <w:szCs w:val="24"/>
              </w:rPr>
            </w:pPr>
            <w:r w:rsidRPr="00556ED0">
              <w:rPr>
                <w:sz w:val="24"/>
                <w:szCs w:val="24"/>
              </w:rPr>
              <w:t>22 1 7728013512 772801001 00</w:t>
            </w:r>
            <w:r w:rsidR="00654085">
              <w:rPr>
                <w:sz w:val="24"/>
                <w:szCs w:val="24"/>
              </w:rPr>
              <w:t>47</w:t>
            </w:r>
            <w:r w:rsidRPr="00556ED0">
              <w:rPr>
                <w:sz w:val="24"/>
                <w:szCs w:val="24"/>
              </w:rPr>
              <w:t xml:space="preserve"> 001 3299 244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2003F1" w:rsidP="005D01B2">
            <w:pPr>
              <w:pStyle w:val="ConsPlusNormal"/>
              <w:jc w:val="both"/>
              <w:rPr>
                <w:sz w:val="24"/>
                <w:szCs w:val="24"/>
              </w:rPr>
            </w:pPr>
            <w:r w:rsidRPr="002003F1">
              <w:rPr>
                <w:sz w:val="24"/>
                <w:szCs w:val="24"/>
              </w:rPr>
              <w:t xml:space="preserve">Поставка </w:t>
            </w:r>
            <w:r w:rsidR="00AF2F02" w:rsidRPr="00AF2F02">
              <w:rPr>
                <w:sz w:val="24"/>
                <w:szCs w:val="24"/>
              </w:rPr>
              <w:t>учебно-демонстрационного оборудования для нужд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AF2F02" w:rsidRPr="00AF2F02" w:rsidRDefault="00C21E0A" w:rsidP="00AF2F02">
            <w:pPr>
              <w:pStyle w:val="ConsPlusNormal"/>
              <w:rPr>
                <w:bCs/>
                <w:i/>
                <w:sz w:val="24"/>
                <w:szCs w:val="24"/>
              </w:rPr>
            </w:pPr>
            <w:r>
              <w:rPr>
                <w:bCs/>
                <w:sz w:val="24"/>
                <w:szCs w:val="24"/>
              </w:rPr>
              <w:lastRenderedPageBreak/>
              <w:t>ОКПД2:</w:t>
            </w:r>
            <w:r w:rsidR="00F64B9D">
              <w:rPr>
                <w:bCs/>
                <w:sz w:val="24"/>
                <w:szCs w:val="24"/>
              </w:rPr>
              <w:t xml:space="preserve"> </w:t>
            </w:r>
            <w:r w:rsidR="00AF2F02" w:rsidRPr="00AF2F02">
              <w:rPr>
                <w:bCs/>
                <w:sz w:val="24"/>
                <w:szCs w:val="24"/>
              </w:rPr>
              <w:t xml:space="preserve">32.99.53.130 – Приборы, аппаратура и устройства учебные демонстрационные </w:t>
            </w:r>
            <w:r w:rsidR="00AF2F02" w:rsidRPr="00AF2F02">
              <w:rPr>
                <w:bCs/>
                <w:sz w:val="24"/>
                <w:szCs w:val="24"/>
              </w:rPr>
              <w:br/>
            </w:r>
            <w:r w:rsidR="00AF2F02" w:rsidRPr="00AF2F02">
              <w:rPr>
                <w:bCs/>
                <w:i/>
                <w:sz w:val="24"/>
                <w:szCs w:val="24"/>
              </w:rPr>
              <w:t>(КТРУ 32.99.53.130-00000001 - Доска магнитно-маркерная);</w:t>
            </w:r>
          </w:p>
          <w:p w:rsidR="00D2151A" w:rsidRPr="00AF2F02" w:rsidRDefault="00C21E0A" w:rsidP="00AF2F02">
            <w:pPr>
              <w:pStyle w:val="ConsPlusNormal"/>
              <w:rPr>
                <w:bCs/>
                <w:i/>
                <w:sz w:val="24"/>
                <w:szCs w:val="24"/>
              </w:rPr>
            </w:pPr>
            <w:r>
              <w:rPr>
                <w:bCs/>
                <w:sz w:val="24"/>
                <w:szCs w:val="24"/>
              </w:rPr>
              <w:t xml:space="preserve">ОКПД2: </w:t>
            </w:r>
            <w:r w:rsidR="00AF2F02" w:rsidRPr="00AF2F02">
              <w:rPr>
                <w:bCs/>
                <w:sz w:val="24"/>
                <w:szCs w:val="24"/>
              </w:rPr>
              <w:t xml:space="preserve">32.99.53.130 – Приборы, аппаратура и </w:t>
            </w:r>
            <w:r w:rsidR="00AF2F02" w:rsidRPr="00AF2F02">
              <w:rPr>
                <w:bCs/>
                <w:sz w:val="24"/>
                <w:szCs w:val="24"/>
              </w:rPr>
              <w:lastRenderedPageBreak/>
              <w:t xml:space="preserve">устройства учебные демонстрационные </w:t>
            </w:r>
            <w:r w:rsidR="00AF2F02" w:rsidRPr="00AF2F02">
              <w:rPr>
                <w:bCs/>
                <w:sz w:val="24"/>
                <w:szCs w:val="24"/>
              </w:rPr>
              <w:br/>
              <w:t>(</w:t>
            </w:r>
            <w:r w:rsidR="00AF2F02" w:rsidRPr="00AF2F02">
              <w:rPr>
                <w:bCs/>
                <w:i/>
                <w:sz w:val="24"/>
                <w:szCs w:val="24"/>
              </w:rPr>
              <w:t>КТРУ 32.99.53.130-00000002 - Доска магнитно-маркерная).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 xml:space="preserve">Количество: </w:t>
            </w:r>
          </w:p>
          <w:p w:rsidR="004F7F70" w:rsidRPr="00076CC5" w:rsidRDefault="004F7F70" w:rsidP="004F7F70">
            <w:pPr>
              <w:pStyle w:val="ConsPlusNormal"/>
              <w:rPr>
                <w:sz w:val="24"/>
                <w:szCs w:val="24"/>
              </w:rPr>
            </w:pPr>
            <w:r>
              <w:rPr>
                <w:sz w:val="24"/>
                <w:szCs w:val="24"/>
              </w:rPr>
              <w:t>- доска магнитно-маркерная, тип 1 - 3 штуки</w:t>
            </w:r>
          </w:p>
          <w:p w:rsidR="004F7F70" w:rsidRPr="00076CC5" w:rsidRDefault="004F7F70" w:rsidP="004F7F70">
            <w:pPr>
              <w:pStyle w:val="ConsPlusNormal"/>
              <w:rPr>
                <w:sz w:val="24"/>
                <w:szCs w:val="24"/>
              </w:rPr>
            </w:pPr>
            <w:r>
              <w:rPr>
                <w:sz w:val="24"/>
                <w:szCs w:val="24"/>
              </w:rPr>
              <w:t>- д</w:t>
            </w:r>
            <w:r w:rsidRPr="00076CC5">
              <w:rPr>
                <w:sz w:val="24"/>
                <w:szCs w:val="24"/>
              </w:rPr>
              <w:t>оска магнитно-маркерная, тип 2</w:t>
            </w:r>
            <w:r w:rsidR="00F64B9D">
              <w:rPr>
                <w:sz w:val="24"/>
                <w:szCs w:val="24"/>
              </w:rPr>
              <w:t xml:space="preserve"> -</w:t>
            </w:r>
            <w:r>
              <w:rPr>
                <w:sz w:val="24"/>
                <w:szCs w:val="24"/>
              </w:rPr>
              <w:t xml:space="preserve"> </w:t>
            </w:r>
            <w:r w:rsidRPr="00076CC5">
              <w:rPr>
                <w:sz w:val="24"/>
                <w:szCs w:val="24"/>
              </w:rPr>
              <w:t>6</w:t>
            </w:r>
            <w:r>
              <w:rPr>
                <w:sz w:val="24"/>
                <w:szCs w:val="24"/>
              </w:rPr>
              <w:t xml:space="preserve"> штук</w:t>
            </w:r>
          </w:p>
          <w:p w:rsidR="004F7F70" w:rsidRDefault="004F7F70" w:rsidP="004F7F70">
            <w:pPr>
              <w:pStyle w:val="ConsPlusNormal"/>
              <w:rPr>
                <w:sz w:val="24"/>
                <w:szCs w:val="24"/>
              </w:rPr>
            </w:pPr>
            <w:r>
              <w:rPr>
                <w:sz w:val="24"/>
                <w:szCs w:val="24"/>
              </w:rPr>
              <w:t>- д</w:t>
            </w:r>
            <w:r w:rsidRPr="00076CC5">
              <w:rPr>
                <w:sz w:val="24"/>
                <w:szCs w:val="24"/>
              </w:rPr>
              <w:t>оск</w:t>
            </w:r>
            <w:r>
              <w:rPr>
                <w:sz w:val="24"/>
                <w:szCs w:val="24"/>
              </w:rPr>
              <w:t xml:space="preserve">а магнитно-маркерная, тип 3 -  </w:t>
            </w:r>
            <w:r w:rsidRPr="00076CC5">
              <w:rPr>
                <w:sz w:val="24"/>
                <w:szCs w:val="24"/>
              </w:rPr>
              <w:t>3</w:t>
            </w:r>
            <w:r>
              <w:rPr>
                <w:sz w:val="24"/>
                <w:szCs w:val="24"/>
              </w:rPr>
              <w:t xml:space="preserve"> штуки</w:t>
            </w:r>
          </w:p>
          <w:p w:rsidR="004F7F70" w:rsidRDefault="004F7F70">
            <w:pPr>
              <w:pStyle w:val="ConsPlusNormal"/>
              <w:rPr>
                <w:sz w:val="24"/>
                <w:szCs w:val="24"/>
              </w:rPr>
            </w:pP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F2F02" w:rsidRPr="00AF2F02" w:rsidRDefault="00AF2F02" w:rsidP="00AF2F02">
            <w:pPr>
              <w:pStyle w:val="ConsPlusNormal"/>
              <w:jc w:val="both"/>
              <w:rPr>
                <w:sz w:val="24"/>
                <w:szCs w:val="24"/>
              </w:rPr>
            </w:pPr>
            <w:r>
              <w:rPr>
                <w:sz w:val="24"/>
                <w:szCs w:val="24"/>
              </w:rPr>
              <w:t>Д</w:t>
            </w:r>
            <w:r w:rsidRPr="00AF2F02">
              <w:rPr>
                <w:sz w:val="24"/>
                <w:szCs w:val="24"/>
              </w:rPr>
              <w:t>о истечения 14 (четырнадцати) календарных дней</w:t>
            </w:r>
          </w:p>
          <w:p w:rsidR="00D2151A" w:rsidRPr="00621123" w:rsidRDefault="00AF2F02" w:rsidP="00AF2F02">
            <w:pPr>
              <w:pStyle w:val="ConsPlusNormal"/>
              <w:jc w:val="both"/>
              <w:rPr>
                <w:sz w:val="24"/>
                <w:szCs w:val="24"/>
              </w:rPr>
            </w:pPr>
            <w:r w:rsidRPr="00AF2F02">
              <w:rPr>
                <w:sz w:val="24"/>
                <w:szCs w:val="24"/>
              </w:rPr>
              <w:t>с даты заключения Контракта</w:t>
            </w:r>
          </w:p>
        </w:tc>
      </w:tr>
      <w:tr w:rsidR="00D2151A" w:rsidRPr="00621123" w:rsidTr="001B5752">
        <w:trPr>
          <w:trHeight w:val="5656"/>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264A" w:rsidRDefault="00AF2F02" w:rsidP="00AF2F02">
            <w:pPr>
              <w:pStyle w:val="ConsPlusNormal"/>
              <w:jc w:val="both"/>
              <w:rPr>
                <w:sz w:val="24"/>
                <w:szCs w:val="24"/>
              </w:rPr>
            </w:pPr>
            <w:r w:rsidRPr="00AF2F02">
              <w:rPr>
                <w:b/>
                <w:sz w:val="24"/>
                <w:szCs w:val="24"/>
              </w:rPr>
              <w:t>179 958</w:t>
            </w:r>
            <w:r>
              <w:rPr>
                <w:sz w:val="24"/>
                <w:szCs w:val="24"/>
              </w:rPr>
              <w:t xml:space="preserve"> (С</w:t>
            </w:r>
            <w:r w:rsidRPr="00AF2F02">
              <w:rPr>
                <w:sz w:val="24"/>
                <w:szCs w:val="24"/>
              </w:rPr>
              <w:t xml:space="preserve">то семьдесят девять тысяч девятьсот пятьдесят восемь) </w:t>
            </w:r>
            <w:r w:rsidRPr="00AF2F02">
              <w:rPr>
                <w:b/>
                <w:sz w:val="24"/>
                <w:szCs w:val="24"/>
              </w:rPr>
              <w:t>рублей 00 копеек, с учетом НДС 20%</w:t>
            </w:r>
            <w:r w:rsidRPr="00AF2F02">
              <w:rPr>
                <w:sz w:val="24"/>
                <w:szCs w:val="24"/>
              </w:rPr>
              <w:t xml:space="preserve"> - 29 993,00 руб</w:t>
            </w:r>
            <w:r>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p>
        </w:tc>
        <w:tc>
          <w:tcPr>
            <w:tcW w:w="5528"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w:t>
            </w:r>
            <w:r w:rsidRPr="0043346A">
              <w:rPr>
                <w:sz w:val="24"/>
                <w:szCs w:val="24"/>
              </w:rPr>
              <w:lastRenderedPageBreak/>
              <w:t xml:space="preserve">соответствии с </w:t>
            </w:r>
            <w:hyperlink r:id="rId20" w:history="1">
              <w:r w:rsidRPr="0043346A">
                <w:rPr>
                  <w:sz w:val="24"/>
                  <w:szCs w:val="24"/>
                </w:rPr>
                <w:t>частью 5 статьи 30</w:t>
              </w:r>
            </w:hyperlink>
            <w:r w:rsidRPr="0043346A">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lastRenderedPageBreak/>
              <w:t>Не установлены</w:t>
            </w:r>
          </w:p>
        </w:tc>
      </w:tr>
      <w:tr w:rsidR="00D2151A" w:rsidRPr="00621123" w:rsidTr="00076CC5">
        <w:trPr>
          <w:trHeight w:val="5551"/>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tc>
        <w:tc>
          <w:tcPr>
            <w:tcW w:w="5528" w:type="dxa"/>
          </w:tcPr>
          <w:p w:rsidR="00D2151A" w:rsidRPr="0043346A" w:rsidRDefault="00DD212D" w:rsidP="0043346A">
            <w:pPr>
              <w:pStyle w:val="ConsPlusNormal"/>
              <w:tabs>
                <w:tab w:val="left" w:pos="2980"/>
              </w:tabs>
              <w:rPr>
                <w:b/>
                <w:sz w:val="24"/>
                <w:szCs w:val="24"/>
              </w:rPr>
            </w:pPr>
            <w:r w:rsidRPr="0043346A">
              <w:rPr>
                <w:b/>
                <w:sz w:val="24"/>
                <w:szCs w:val="24"/>
              </w:rPr>
              <w:t xml:space="preserve">Требование </w:t>
            </w:r>
            <w:r w:rsidR="004659E8" w:rsidRPr="0043346A">
              <w:rPr>
                <w:b/>
                <w:sz w:val="24"/>
                <w:szCs w:val="24"/>
              </w:rPr>
              <w:t>установлено</w:t>
            </w:r>
            <w:r w:rsidR="0043346A" w:rsidRPr="0043346A">
              <w:rPr>
                <w:b/>
                <w:sz w:val="24"/>
                <w:szCs w:val="24"/>
              </w:rPr>
              <w:tab/>
            </w:r>
          </w:p>
          <w:p w:rsidR="003E56AD" w:rsidRPr="00C46DA3" w:rsidRDefault="003E56AD">
            <w:pPr>
              <w:pStyle w:val="ConsPlusNormal"/>
              <w:rPr>
                <w:iCs/>
                <w:sz w:val="6"/>
                <w:szCs w:val="6"/>
              </w:rPr>
            </w:pPr>
          </w:p>
          <w:p w:rsidR="00B21B85" w:rsidRDefault="00B21B85" w:rsidP="0043346A">
            <w:pPr>
              <w:pStyle w:val="ConsPlusNormal"/>
              <w:jc w:val="both"/>
              <w:rPr>
                <w:iCs/>
                <w:sz w:val="24"/>
                <w:szCs w:val="24"/>
              </w:rPr>
            </w:pPr>
            <w:r w:rsidRPr="00C46DA3">
              <w:rPr>
                <w:i/>
                <w:iCs/>
                <w:sz w:val="24"/>
                <w:szCs w:val="24"/>
              </w:rPr>
              <w:t>Ограничение допуска отдельных видов промышленных товаров</w:t>
            </w:r>
            <w:r w:rsidRPr="00C46DA3">
              <w:rPr>
                <w:iCs/>
                <w:sz w:val="24"/>
                <w:szCs w:val="24"/>
              </w:rPr>
              <w:t xml:space="preserve">, </w:t>
            </w:r>
            <w:r w:rsidRPr="00C46DA3">
              <w:rPr>
                <w:i/>
                <w:iCs/>
                <w:sz w:val="24"/>
                <w:szCs w:val="24"/>
              </w:rPr>
              <w:t>происходящих из иностранных государств</w:t>
            </w:r>
            <w:r w:rsidRPr="00C46DA3">
              <w:rPr>
                <w:iCs/>
                <w:sz w:val="24"/>
                <w:szCs w:val="24"/>
              </w:rPr>
              <w:t xml:space="preserve"> </w:t>
            </w:r>
            <w:r w:rsidRPr="00C46DA3">
              <w:rPr>
                <w:i/>
                <w:iCs/>
                <w:sz w:val="24"/>
                <w:szCs w:val="24"/>
              </w:rPr>
              <w:t xml:space="preserve">в соответствии с Постановлением Правительства РФ от 30 апреля 2020 г. № 617 </w:t>
            </w:r>
            <w:r w:rsidRPr="00C46DA3">
              <w:rPr>
                <w:iCs/>
                <w:sz w:val="24"/>
                <w:szCs w:val="24"/>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3024D5">
              <w:rPr>
                <w:iCs/>
                <w:sz w:val="24"/>
                <w:szCs w:val="24"/>
              </w:rPr>
              <w:t>»</w:t>
            </w:r>
            <w:r w:rsidRPr="00C46DA3">
              <w:rPr>
                <w:iCs/>
                <w:sz w:val="24"/>
                <w:szCs w:val="24"/>
              </w:rPr>
              <w:t xml:space="preserve">. </w:t>
            </w:r>
          </w:p>
          <w:p w:rsidR="00076CC5" w:rsidRDefault="00076CC5" w:rsidP="0043346A">
            <w:pPr>
              <w:pStyle w:val="ConsPlusNormal"/>
              <w:jc w:val="both"/>
              <w:rPr>
                <w:iCs/>
                <w:sz w:val="24"/>
                <w:szCs w:val="24"/>
              </w:rPr>
            </w:pPr>
          </w:p>
          <w:p w:rsidR="00B21B85" w:rsidRPr="00C46DA3" w:rsidRDefault="00076CC5" w:rsidP="00076CC5">
            <w:pPr>
              <w:pStyle w:val="ConsPlusNormal"/>
              <w:jc w:val="both"/>
              <w:rPr>
                <w:rFonts w:eastAsia="SimSun"/>
                <w:sz w:val="24"/>
                <w:szCs w:val="24"/>
              </w:rPr>
            </w:pPr>
            <w:r w:rsidRPr="00C46DA3">
              <w:rPr>
                <w:i/>
                <w:iCs/>
                <w:sz w:val="24"/>
                <w:szCs w:val="24"/>
              </w:rPr>
              <w:t>Условия допуска товаров</w:t>
            </w:r>
            <w:r w:rsidRPr="00C46DA3">
              <w:rPr>
                <w:iCs/>
                <w:sz w:val="24"/>
                <w:szCs w:val="24"/>
              </w:rPr>
              <w:t xml:space="preserve">, происходящих из иностранного государства или группы иностранных </w:t>
            </w:r>
            <w:r w:rsidRPr="00C46DA3">
              <w:rPr>
                <w:i/>
                <w:iCs/>
                <w:sz w:val="24"/>
                <w:szCs w:val="24"/>
              </w:rPr>
              <w:t xml:space="preserve">государств </w:t>
            </w:r>
            <w:r w:rsidRPr="00C46DA3">
              <w:rPr>
                <w:i/>
                <w:sz w:val="24"/>
                <w:szCs w:val="24"/>
              </w:rPr>
              <w:t>в соответствии с приказом Минфина России от 4 июня 2018 г. № 126н</w:t>
            </w:r>
            <w:r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r>
              <w:rPr>
                <w:sz w:val="24"/>
                <w:szCs w:val="24"/>
              </w:rPr>
              <w:t xml:space="preserve"> нужд».</w:t>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w:t>
            </w:r>
            <w:r w:rsidRPr="00621123">
              <w:rPr>
                <w:sz w:val="24"/>
                <w:szCs w:val="24"/>
              </w:rPr>
              <w:lastRenderedPageBreak/>
              <w:t>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14F32" w:rsidRDefault="00927E30" w:rsidP="00927E30">
            <w:pPr>
              <w:pStyle w:val="ConsPlusNormal"/>
              <w:jc w:val="both"/>
              <w:rPr>
                <w:sz w:val="16"/>
                <w:szCs w:val="16"/>
              </w:rPr>
            </w:pPr>
          </w:p>
          <w:p w:rsidR="004A4828" w:rsidRDefault="00000DA3" w:rsidP="007E0A2E">
            <w:pPr>
              <w:pStyle w:val="ConsPlusNormal"/>
              <w:jc w:val="both"/>
              <w:rPr>
                <w:sz w:val="24"/>
                <w:szCs w:val="24"/>
              </w:rPr>
            </w:pPr>
            <w:r w:rsidRPr="00000DA3">
              <w:rPr>
                <w:sz w:val="24"/>
                <w:szCs w:val="24"/>
              </w:rPr>
              <w:lastRenderedPageBreak/>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014F32" w:rsidRDefault="004A450E" w:rsidP="00000DA3">
            <w:pPr>
              <w:pStyle w:val="ConsPlusNormal"/>
              <w:rPr>
                <w:sz w:val="16"/>
                <w:szCs w:val="16"/>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014F32" w:rsidRDefault="00251A5C" w:rsidP="00251A5C">
            <w:pPr>
              <w:pStyle w:val="ConsPlusNormal"/>
              <w:jc w:val="both"/>
              <w:rPr>
                <w:sz w:val="16"/>
                <w:szCs w:val="16"/>
              </w:rPr>
            </w:pPr>
          </w:p>
          <w:p w:rsidR="00DE445C" w:rsidRPr="00C15BBC" w:rsidRDefault="00CA12F4" w:rsidP="00DE445C">
            <w:pPr>
              <w:pStyle w:val="ConsPlusNormal"/>
              <w:jc w:val="both"/>
              <w:rPr>
                <w:bCs/>
                <w:sz w:val="24"/>
                <w:szCs w:val="24"/>
              </w:rPr>
            </w:pPr>
            <w:r w:rsidRPr="00C15BBC">
              <w:rPr>
                <w:sz w:val="24"/>
                <w:szCs w:val="24"/>
              </w:rPr>
              <w:t xml:space="preserve">Порядок предоставления такого обеспечения, требования к такому обеспечению указаны </w:t>
            </w:r>
            <w:r w:rsidR="003647E4" w:rsidRPr="00C15BBC">
              <w:rPr>
                <w:sz w:val="24"/>
                <w:szCs w:val="24"/>
              </w:rPr>
              <w:t xml:space="preserve">в </w:t>
            </w:r>
            <w:r w:rsidR="00E67396" w:rsidRPr="00C15BBC">
              <w:rPr>
                <w:bCs/>
                <w:sz w:val="24"/>
                <w:szCs w:val="24"/>
              </w:rPr>
              <w:t>Приложение № 5</w:t>
            </w:r>
            <w:r w:rsidR="00E67396" w:rsidRPr="00C15BBC">
              <w:rPr>
                <w:sz w:val="24"/>
                <w:szCs w:val="24"/>
              </w:rPr>
              <w:t xml:space="preserve"> </w:t>
            </w:r>
            <w:r w:rsidR="00E67396" w:rsidRPr="00C15BBC">
              <w:rPr>
                <w:bCs/>
                <w:sz w:val="24"/>
                <w:szCs w:val="24"/>
              </w:rPr>
              <w:t xml:space="preserve">к Извещению о проведении электронного аукциона </w:t>
            </w:r>
            <w:r w:rsidR="009A5D0E" w:rsidRPr="00C15BBC">
              <w:rPr>
                <w:bCs/>
                <w:sz w:val="24"/>
                <w:szCs w:val="24"/>
              </w:rPr>
              <w:t xml:space="preserve">на </w:t>
            </w:r>
            <w:r w:rsidR="00DE445C" w:rsidRPr="00C15BBC">
              <w:rPr>
                <w:bCs/>
                <w:sz w:val="24"/>
                <w:szCs w:val="24"/>
              </w:rPr>
              <w:t>учебно-демонстрационного оборудования для нужд ИПУ РАН</w:t>
            </w:r>
          </w:p>
          <w:p w:rsidR="007178DE" w:rsidRPr="00DE445C" w:rsidRDefault="007178DE" w:rsidP="007178DE">
            <w:pPr>
              <w:pStyle w:val="ConsPlusNormal"/>
              <w:jc w:val="both"/>
              <w:rPr>
                <w:sz w:val="16"/>
                <w:szCs w:val="16"/>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251A5C" w:rsidRDefault="00251A5C" w:rsidP="00251A5C">
            <w:pPr>
              <w:pStyle w:val="ConsPlusNormal"/>
              <w:jc w:val="both"/>
              <w:rPr>
                <w:sz w:val="24"/>
                <w:szCs w:val="24"/>
              </w:rPr>
            </w:pPr>
            <w:r w:rsidRPr="00251A5C">
              <w:rPr>
                <w:sz w:val="24"/>
                <w:szCs w:val="24"/>
              </w:rPr>
              <w:t>№ аукциона, по которому перечисляется обеспечение.</w:t>
            </w:r>
          </w:p>
          <w:p w:rsidR="00251A5C" w:rsidRPr="00251A5C" w:rsidRDefault="00251A5C" w:rsidP="00251A5C">
            <w:pPr>
              <w:pStyle w:val="ConsPlusNormal"/>
              <w:jc w:val="both"/>
              <w:rPr>
                <w:sz w:val="24"/>
                <w:szCs w:val="24"/>
              </w:rPr>
            </w:pPr>
          </w:p>
          <w:p w:rsidR="00251A5C" w:rsidRPr="00621123" w:rsidRDefault="00251A5C" w:rsidP="00BB4F22">
            <w:pPr>
              <w:pStyle w:val="ConsPlusNormal"/>
              <w:jc w:val="both"/>
              <w:rPr>
                <w:sz w:val="24"/>
                <w:szCs w:val="24"/>
              </w:rPr>
            </w:pPr>
            <w:r w:rsidRPr="00C46DA3">
              <w:rPr>
                <w:b/>
                <w:sz w:val="24"/>
                <w:szCs w:val="24"/>
              </w:rPr>
              <w:t>Обеспечение гарантийных обязательств</w:t>
            </w:r>
            <w:r w:rsidR="00AF2F02">
              <w:rPr>
                <w:b/>
                <w:sz w:val="24"/>
                <w:szCs w:val="24"/>
              </w:rPr>
              <w:t xml:space="preserve">: </w:t>
            </w:r>
            <w:r w:rsidR="00014F32" w:rsidRPr="00641299">
              <w:rPr>
                <w:i/>
                <w:sz w:val="24"/>
                <w:szCs w:val="24"/>
              </w:rPr>
              <w:t>Т</w:t>
            </w:r>
            <w:r w:rsidR="00AF2F02" w:rsidRPr="00641299">
              <w:rPr>
                <w:i/>
                <w:sz w:val="24"/>
                <w:szCs w:val="24"/>
              </w:rPr>
              <w:t>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1"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2"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3"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C15BBC" w:rsidP="00C15BBC">
            <w:pPr>
              <w:pStyle w:val="ConsPlusNormal"/>
              <w:rPr>
                <w:b/>
                <w:sz w:val="24"/>
                <w:szCs w:val="24"/>
              </w:rPr>
            </w:pPr>
            <w:r>
              <w:rPr>
                <w:b/>
                <w:sz w:val="24"/>
                <w:szCs w:val="24"/>
              </w:rPr>
              <w:t xml:space="preserve"> «_22_» сентября </w:t>
            </w:r>
            <w:r w:rsidR="00CF3B61" w:rsidRPr="00AD7BCD">
              <w:rPr>
                <w:b/>
                <w:sz w:val="24"/>
                <w:szCs w:val="24"/>
              </w:rPr>
              <w:t xml:space="preserve">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014F32" w:rsidP="004115C4">
            <w:pPr>
              <w:pStyle w:val="ConsPlusNormal"/>
              <w:rPr>
                <w:b/>
                <w:sz w:val="24"/>
                <w:szCs w:val="24"/>
              </w:rPr>
            </w:pPr>
            <w:r>
              <w:rPr>
                <w:b/>
                <w:sz w:val="24"/>
                <w:szCs w:val="24"/>
              </w:rPr>
              <w:t>«_</w:t>
            </w:r>
            <w:r w:rsidR="00C15BBC">
              <w:rPr>
                <w:b/>
                <w:sz w:val="24"/>
                <w:szCs w:val="24"/>
              </w:rPr>
              <w:t>22</w:t>
            </w:r>
            <w:r>
              <w:rPr>
                <w:b/>
                <w:sz w:val="24"/>
                <w:szCs w:val="24"/>
              </w:rPr>
              <w:t>_</w:t>
            </w:r>
            <w:r w:rsidR="009C7B30" w:rsidRPr="00AD7BCD">
              <w:rPr>
                <w:b/>
                <w:sz w:val="24"/>
                <w:szCs w:val="24"/>
              </w:rPr>
              <w:t>»</w:t>
            </w:r>
            <w:r>
              <w:rPr>
                <w:b/>
                <w:sz w:val="24"/>
                <w:szCs w:val="24"/>
              </w:rPr>
              <w:t xml:space="preserve"> </w:t>
            </w:r>
            <w:r w:rsidR="00C15BBC">
              <w:rPr>
                <w:b/>
                <w:sz w:val="24"/>
                <w:szCs w:val="24"/>
              </w:rPr>
              <w:t>сентября</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w:t>
            </w:r>
            <w:r w:rsidR="00C15BBC">
              <w:rPr>
                <w:b/>
                <w:sz w:val="24"/>
                <w:szCs w:val="24"/>
              </w:rPr>
              <w:t>26</w:t>
            </w:r>
            <w:r w:rsidR="00014F32">
              <w:rPr>
                <w:b/>
                <w:sz w:val="24"/>
                <w:szCs w:val="24"/>
              </w:rPr>
              <w:t>_</w:t>
            </w:r>
            <w:r w:rsidR="00437235" w:rsidRPr="00AD7BCD">
              <w:rPr>
                <w:b/>
                <w:sz w:val="24"/>
                <w:szCs w:val="24"/>
              </w:rPr>
              <w:t>»</w:t>
            </w:r>
            <w:r w:rsidR="00014F32">
              <w:rPr>
                <w:b/>
                <w:sz w:val="24"/>
                <w:szCs w:val="24"/>
              </w:rPr>
              <w:t xml:space="preserve"> </w:t>
            </w:r>
            <w:r w:rsidR="00C15BBC">
              <w:rPr>
                <w:b/>
                <w:sz w:val="24"/>
                <w:szCs w:val="24"/>
              </w:rPr>
              <w:t xml:space="preserve">сентября </w:t>
            </w:r>
            <w:bookmarkStart w:id="0" w:name="_GoBack"/>
            <w:bookmarkEnd w:id="0"/>
            <w:r w:rsidR="00437235" w:rsidRPr="00AD7BCD">
              <w:rPr>
                <w:b/>
                <w:sz w:val="24"/>
                <w:szCs w:val="24"/>
              </w:rPr>
              <w:t>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E62D87">
      <w:pPr>
        <w:pStyle w:val="ConsPlusNormal"/>
        <w:spacing w:before="120" w:after="120"/>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D2151A" w:rsidRDefault="003647E4" w:rsidP="00E62D87">
      <w:pPr>
        <w:pStyle w:val="ConsPlusNormal"/>
        <w:spacing w:before="120" w:after="120"/>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E62D87">
      <w:pPr>
        <w:pStyle w:val="ConsPlusNormal"/>
        <w:spacing w:before="120" w:after="120"/>
        <w:ind w:firstLine="567"/>
        <w:jc w:val="both"/>
        <w:rPr>
          <w:sz w:val="24"/>
          <w:szCs w:val="24"/>
        </w:rPr>
      </w:pPr>
      <w:r>
        <w:rPr>
          <w:sz w:val="24"/>
          <w:szCs w:val="24"/>
        </w:rPr>
        <w:t>Приложение № 3 «</w:t>
      </w:r>
      <w:r w:rsidRPr="00B276E6">
        <w:rPr>
          <w:sz w:val="24"/>
          <w:szCs w:val="24"/>
        </w:rPr>
        <w:t>Описание объекта закупки</w:t>
      </w:r>
      <w:r w:rsidR="003A5CD0">
        <w:rPr>
          <w:sz w:val="24"/>
          <w:szCs w:val="24"/>
        </w:rPr>
        <w:t xml:space="preserve">» </w:t>
      </w:r>
      <w:r w:rsidR="00D7101B">
        <w:rPr>
          <w:sz w:val="24"/>
          <w:szCs w:val="24"/>
        </w:rPr>
        <w:t>(Техническое задание)»</w:t>
      </w:r>
      <w:r>
        <w:rPr>
          <w:sz w:val="24"/>
          <w:szCs w:val="24"/>
        </w:rPr>
        <w:t>;</w:t>
      </w:r>
    </w:p>
    <w:p w:rsidR="00E62D87" w:rsidRDefault="00E62D87" w:rsidP="00E62D87">
      <w:pPr>
        <w:pStyle w:val="ConsPlusNormal"/>
        <w:spacing w:before="120" w:after="120"/>
        <w:ind w:firstLine="567"/>
        <w:jc w:val="both"/>
        <w:rPr>
          <w:sz w:val="24"/>
          <w:szCs w:val="24"/>
        </w:rPr>
      </w:pPr>
      <w:r>
        <w:rPr>
          <w:sz w:val="24"/>
          <w:szCs w:val="24"/>
        </w:rPr>
        <w:t>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4" w:history="1">
        <w:r w:rsidRPr="003647E4">
          <w:rPr>
            <w:sz w:val="24"/>
            <w:szCs w:val="24"/>
          </w:rPr>
          <w:t>законом</w:t>
        </w:r>
      </w:hyperlink>
      <w:r w:rsidRPr="003647E4">
        <w:rPr>
          <w:sz w:val="24"/>
          <w:szCs w:val="24"/>
        </w:rPr>
        <w:t xml:space="preserve"> </w:t>
      </w:r>
      <w:r w:rsidR="0077506A">
        <w:rPr>
          <w:sz w:val="24"/>
          <w:szCs w:val="24"/>
        </w:rPr>
        <w:t xml:space="preserve">№ 44-ФЗ </w:t>
      </w:r>
      <w:r w:rsidRPr="00B276E6">
        <w:rPr>
          <w:sz w:val="24"/>
          <w:szCs w:val="24"/>
        </w:rPr>
        <w:t>и инструкция по ее заполнению</w:t>
      </w:r>
      <w:r>
        <w:rPr>
          <w:sz w:val="24"/>
          <w:szCs w:val="24"/>
        </w:rPr>
        <w:t>»;</w:t>
      </w:r>
    </w:p>
    <w:p w:rsidR="00E62D87" w:rsidRPr="00B276E6" w:rsidRDefault="00E62D87" w:rsidP="00E62D87">
      <w:pPr>
        <w:pStyle w:val="ConsPlusNormal"/>
        <w:spacing w:before="120" w:after="120"/>
        <w:ind w:firstLine="567"/>
        <w:jc w:val="both"/>
        <w:rPr>
          <w:sz w:val="24"/>
          <w:szCs w:val="24"/>
        </w:rPr>
      </w:pP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r>
        <w:rPr>
          <w:sz w:val="24"/>
          <w:szCs w:val="24"/>
        </w:rPr>
        <w:t>».</w:t>
      </w:r>
    </w:p>
    <w:p w:rsidR="00B71A3B" w:rsidRDefault="00B71A3B" w:rsidP="00ED1056">
      <w:pPr>
        <w:jc w:val="both"/>
        <w:rPr>
          <w:sz w:val="24"/>
          <w:szCs w:val="24"/>
        </w:rPr>
      </w:pPr>
    </w:p>
    <w:p w:rsidR="00B71A3B" w:rsidRDefault="00B71A3B"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Д.А. Тимохин</w:t>
      </w:r>
    </w:p>
    <w:p w:rsidR="00ED1056" w:rsidRDefault="00ED1056"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ED1056" w:rsidP="00ED1056">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ED1056" w:rsidRPr="0016716D" w:rsidRDefault="00BB4F22" w:rsidP="00ED1056">
      <w:pPr>
        <w:spacing w:after="0"/>
        <w:jc w:val="both"/>
        <w:rPr>
          <w:sz w:val="20"/>
          <w:szCs w:val="20"/>
        </w:rPr>
      </w:pPr>
      <w:r>
        <w:rPr>
          <w:sz w:val="20"/>
          <w:szCs w:val="20"/>
        </w:rPr>
        <w:t>Т.Ю. Данькова</w:t>
      </w:r>
    </w:p>
    <w:p w:rsidR="00ED1056" w:rsidRPr="0016716D" w:rsidRDefault="00ED1056" w:rsidP="00ED1056">
      <w:pPr>
        <w:jc w:val="both"/>
        <w:rPr>
          <w:sz w:val="20"/>
          <w:szCs w:val="20"/>
        </w:rPr>
      </w:pPr>
      <w:r w:rsidRPr="0016716D">
        <w:rPr>
          <w:sz w:val="20"/>
          <w:szCs w:val="20"/>
        </w:rPr>
        <w:t>Тел. 84951981720 доб.16</w:t>
      </w:r>
      <w:r w:rsidR="00BB4F22">
        <w:rPr>
          <w:sz w:val="20"/>
          <w:szCs w:val="20"/>
        </w:rPr>
        <w:t>01</w:t>
      </w:r>
    </w:p>
    <w:sectPr w:rsidR="00ED1056" w:rsidRPr="0016716D" w:rsidSect="00E62D87">
      <w:footerReference w:type="default" r:id="rId2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C15BBC">
          <w:rPr>
            <w:noProof/>
            <w:sz w:val="20"/>
            <w:szCs w:val="20"/>
          </w:rPr>
          <w:t>3</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14F32"/>
    <w:rsid w:val="00041901"/>
    <w:rsid w:val="000451EF"/>
    <w:rsid w:val="00076CC5"/>
    <w:rsid w:val="0009218B"/>
    <w:rsid w:val="000B0541"/>
    <w:rsid w:val="000E0CF2"/>
    <w:rsid w:val="000E39DF"/>
    <w:rsid w:val="0010152C"/>
    <w:rsid w:val="00114560"/>
    <w:rsid w:val="00121ED9"/>
    <w:rsid w:val="00147433"/>
    <w:rsid w:val="0016627A"/>
    <w:rsid w:val="00166F57"/>
    <w:rsid w:val="001A7C0F"/>
    <w:rsid w:val="001B5752"/>
    <w:rsid w:val="002003F1"/>
    <w:rsid w:val="002136DD"/>
    <w:rsid w:val="00234B41"/>
    <w:rsid w:val="0024124E"/>
    <w:rsid w:val="00251A5C"/>
    <w:rsid w:val="00263327"/>
    <w:rsid w:val="002927FC"/>
    <w:rsid w:val="00293899"/>
    <w:rsid w:val="002A6C36"/>
    <w:rsid w:val="002C491F"/>
    <w:rsid w:val="002D0D2A"/>
    <w:rsid w:val="002F5455"/>
    <w:rsid w:val="003024D5"/>
    <w:rsid w:val="00317031"/>
    <w:rsid w:val="0034192D"/>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64276"/>
    <w:rsid w:val="004659E8"/>
    <w:rsid w:val="00484C1F"/>
    <w:rsid w:val="00494A71"/>
    <w:rsid w:val="004A450E"/>
    <w:rsid w:val="004A4828"/>
    <w:rsid w:val="004E161A"/>
    <w:rsid w:val="004F7F70"/>
    <w:rsid w:val="00507EB1"/>
    <w:rsid w:val="005140B8"/>
    <w:rsid w:val="0051651A"/>
    <w:rsid w:val="00523EE3"/>
    <w:rsid w:val="00531523"/>
    <w:rsid w:val="005333E6"/>
    <w:rsid w:val="00544187"/>
    <w:rsid w:val="00556ED0"/>
    <w:rsid w:val="005C6956"/>
    <w:rsid w:val="005D01B2"/>
    <w:rsid w:val="005E753E"/>
    <w:rsid w:val="005F71E8"/>
    <w:rsid w:val="0060569E"/>
    <w:rsid w:val="00610890"/>
    <w:rsid w:val="0061243E"/>
    <w:rsid w:val="00621123"/>
    <w:rsid w:val="00622F9A"/>
    <w:rsid w:val="00630566"/>
    <w:rsid w:val="006371B6"/>
    <w:rsid w:val="00641299"/>
    <w:rsid w:val="006453C3"/>
    <w:rsid w:val="00654085"/>
    <w:rsid w:val="00683B5D"/>
    <w:rsid w:val="006B41DE"/>
    <w:rsid w:val="006C2A62"/>
    <w:rsid w:val="006D13B1"/>
    <w:rsid w:val="007178DE"/>
    <w:rsid w:val="00756ADB"/>
    <w:rsid w:val="0077506A"/>
    <w:rsid w:val="00792C53"/>
    <w:rsid w:val="007B65D7"/>
    <w:rsid w:val="007E0A2E"/>
    <w:rsid w:val="007E2F95"/>
    <w:rsid w:val="007F31B4"/>
    <w:rsid w:val="00802ECD"/>
    <w:rsid w:val="008040FD"/>
    <w:rsid w:val="0080459C"/>
    <w:rsid w:val="00824ABC"/>
    <w:rsid w:val="00826FB9"/>
    <w:rsid w:val="00840976"/>
    <w:rsid w:val="00851DC8"/>
    <w:rsid w:val="008666BC"/>
    <w:rsid w:val="00890237"/>
    <w:rsid w:val="008D273F"/>
    <w:rsid w:val="008D43B7"/>
    <w:rsid w:val="008E2CE6"/>
    <w:rsid w:val="008F4F3A"/>
    <w:rsid w:val="00903AAB"/>
    <w:rsid w:val="00924326"/>
    <w:rsid w:val="00924B6A"/>
    <w:rsid w:val="00925D3D"/>
    <w:rsid w:val="00927E30"/>
    <w:rsid w:val="009452F7"/>
    <w:rsid w:val="00955465"/>
    <w:rsid w:val="00965A81"/>
    <w:rsid w:val="00976D78"/>
    <w:rsid w:val="0099238F"/>
    <w:rsid w:val="00996E7A"/>
    <w:rsid w:val="009A5D0E"/>
    <w:rsid w:val="009A78B0"/>
    <w:rsid w:val="009B0983"/>
    <w:rsid w:val="009C659E"/>
    <w:rsid w:val="009C7B30"/>
    <w:rsid w:val="009E3530"/>
    <w:rsid w:val="009E6E01"/>
    <w:rsid w:val="009F7EAB"/>
    <w:rsid w:val="00A0352D"/>
    <w:rsid w:val="00A13319"/>
    <w:rsid w:val="00A36C69"/>
    <w:rsid w:val="00A47C18"/>
    <w:rsid w:val="00A56968"/>
    <w:rsid w:val="00A61910"/>
    <w:rsid w:val="00A63F55"/>
    <w:rsid w:val="00AA6E34"/>
    <w:rsid w:val="00AC52AB"/>
    <w:rsid w:val="00AD1449"/>
    <w:rsid w:val="00AD4BBA"/>
    <w:rsid w:val="00AD7BCD"/>
    <w:rsid w:val="00AF0D37"/>
    <w:rsid w:val="00AF2F02"/>
    <w:rsid w:val="00B17267"/>
    <w:rsid w:val="00B21B85"/>
    <w:rsid w:val="00B2288D"/>
    <w:rsid w:val="00B251DE"/>
    <w:rsid w:val="00B26421"/>
    <w:rsid w:val="00B276E6"/>
    <w:rsid w:val="00B71A3B"/>
    <w:rsid w:val="00B9778A"/>
    <w:rsid w:val="00BA5406"/>
    <w:rsid w:val="00BB4F22"/>
    <w:rsid w:val="00BD63EC"/>
    <w:rsid w:val="00BF1C72"/>
    <w:rsid w:val="00C02C28"/>
    <w:rsid w:val="00C0744E"/>
    <w:rsid w:val="00C13AA7"/>
    <w:rsid w:val="00C15BBC"/>
    <w:rsid w:val="00C21E0A"/>
    <w:rsid w:val="00C417DF"/>
    <w:rsid w:val="00C46DA3"/>
    <w:rsid w:val="00C654FE"/>
    <w:rsid w:val="00C8010B"/>
    <w:rsid w:val="00C95FFA"/>
    <w:rsid w:val="00CA12F4"/>
    <w:rsid w:val="00CA295F"/>
    <w:rsid w:val="00CB637C"/>
    <w:rsid w:val="00CC2141"/>
    <w:rsid w:val="00CC3081"/>
    <w:rsid w:val="00CC3DF1"/>
    <w:rsid w:val="00CD6FD8"/>
    <w:rsid w:val="00CD7A15"/>
    <w:rsid w:val="00CF3B61"/>
    <w:rsid w:val="00CF6515"/>
    <w:rsid w:val="00D16C37"/>
    <w:rsid w:val="00D2151A"/>
    <w:rsid w:val="00D7101B"/>
    <w:rsid w:val="00D95374"/>
    <w:rsid w:val="00DB0DC6"/>
    <w:rsid w:val="00DD212D"/>
    <w:rsid w:val="00DE445C"/>
    <w:rsid w:val="00E136F6"/>
    <w:rsid w:val="00E16C3B"/>
    <w:rsid w:val="00E3396B"/>
    <w:rsid w:val="00E46724"/>
    <w:rsid w:val="00E47492"/>
    <w:rsid w:val="00E62D87"/>
    <w:rsid w:val="00E63A04"/>
    <w:rsid w:val="00E67396"/>
    <w:rsid w:val="00EA5440"/>
    <w:rsid w:val="00EC798E"/>
    <w:rsid w:val="00ED1056"/>
    <w:rsid w:val="00ED264A"/>
    <w:rsid w:val="00F018E4"/>
    <w:rsid w:val="00F1792C"/>
    <w:rsid w:val="00F50727"/>
    <w:rsid w:val="00F529FA"/>
    <w:rsid w:val="00F5786D"/>
    <w:rsid w:val="00F64B9D"/>
    <w:rsid w:val="00F6718F"/>
    <w:rsid w:val="00F80C14"/>
    <w:rsid w:val="00F852D8"/>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5D78D3FC83895984B2AB1C0A15E2606958C07824C36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2DA566C9D78525CA3280CE1A6C3EZ6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5D78C38CA3995984B2AB1C0A15E2606958C07824C36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6D58E32C164CF884F63E4C5BF563A1895920738Z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6</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88</cp:revision>
  <cp:lastPrinted>2022-08-18T10:14:00Z</cp:lastPrinted>
  <dcterms:created xsi:type="dcterms:W3CDTF">2022-02-08T08:25:00Z</dcterms:created>
  <dcterms:modified xsi:type="dcterms:W3CDTF">2022-09-15T14:54:00Z</dcterms:modified>
</cp:coreProperties>
</file>