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C7" w:rsidRDefault="00A179C7" w:rsidP="00145B3F">
      <w:pPr>
        <w:pStyle w:val="ConsPlusNormal"/>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электронного аукциона</w:t>
      </w:r>
      <w:r w:rsidR="00996E7A">
        <w:rPr>
          <w:sz w:val="24"/>
          <w:szCs w:val="24"/>
        </w:rPr>
        <w:t xml:space="preserve"> на</w:t>
      </w:r>
    </w:p>
    <w:p w:rsidR="00F71296" w:rsidRDefault="00996E7A">
      <w:pPr>
        <w:pStyle w:val="ConsPlusNormal"/>
        <w:jc w:val="center"/>
        <w:rPr>
          <w:b/>
          <w:bCs/>
          <w:color w:val="000000"/>
          <w:sz w:val="24"/>
          <w:szCs w:val="24"/>
          <w:shd w:val="clear" w:color="auto" w:fill="FFFFFF"/>
        </w:rPr>
      </w:pPr>
      <w:r w:rsidRPr="007E3BE4">
        <w:rPr>
          <w:b/>
          <w:bCs/>
          <w:color w:val="000000"/>
          <w:sz w:val="24"/>
          <w:szCs w:val="24"/>
          <w:shd w:val="clear" w:color="auto" w:fill="FFFFFF"/>
        </w:rPr>
        <w:t xml:space="preserve">«Выполнение </w:t>
      </w:r>
      <w:r w:rsidR="00A372B6">
        <w:rPr>
          <w:b/>
          <w:bCs/>
          <w:color w:val="000000"/>
          <w:sz w:val="24"/>
          <w:szCs w:val="24"/>
          <w:shd w:val="clear" w:color="auto" w:fill="FFFFFF"/>
        </w:rPr>
        <w:t>работ по текущему ремонту кровли</w:t>
      </w:r>
      <w:r w:rsidR="00F71296">
        <w:rPr>
          <w:b/>
          <w:bCs/>
          <w:color w:val="000000"/>
          <w:sz w:val="24"/>
          <w:szCs w:val="24"/>
          <w:shd w:val="clear" w:color="auto" w:fill="FFFFFF"/>
        </w:rPr>
        <w:t xml:space="preserve"> корпуса </w:t>
      </w:r>
      <w:r w:rsidR="00A372B6">
        <w:rPr>
          <w:b/>
          <w:bCs/>
          <w:color w:val="000000"/>
          <w:sz w:val="24"/>
          <w:szCs w:val="24"/>
          <w:shd w:val="clear" w:color="auto" w:fill="FFFFFF"/>
        </w:rPr>
        <w:t xml:space="preserve">общего назначения </w:t>
      </w:r>
    </w:p>
    <w:p w:rsidR="003357E8" w:rsidRDefault="00A372B6" w:rsidP="003357E8">
      <w:pPr>
        <w:pStyle w:val="ConsPlusNormal"/>
        <w:jc w:val="center"/>
        <w:rPr>
          <w:b/>
          <w:bCs/>
          <w:color w:val="000000"/>
          <w:sz w:val="24"/>
          <w:szCs w:val="24"/>
          <w:shd w:val="clear" w:color="auto" w:fill="FFFFFF"/>
        </w:rPr>
      </w:pPr>
      <w:r>
        <w:rPr>
          <w:b/>
          <w:bCs/>
          <w:color w:val="000000"/>
          <w:sz w:val="24"/>
          <w:szCs w:val="24"/>
          <w:shd w:val="clear" w:color="auto" w:fill="FFFFFF"/>
        </w:rPr>
        <w:t>ИПУ РАН</w:t>
      </w:r>
      <w:r w:rsidR="007E3BE4">
        <w:rPr>
          <w:b/>
          <w:bCs/>
          <w:color w:val="000000"/>
          <w:sz w:val="24"/>
          <w:szCs w:val="24"/>
          <w:shd w:val="clear" w:color="auto" w:fill="FFFFFF"/>
        </w:rPr>
        <w:t>»</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8"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proofErr w:type="spellStart"/>
              <w:r w:rsidRPr="00390005">
                <w:rPr>
                  <w:rStyle w:val="a3"/>
                  <w:rFonts w:cs="Times New Roman"/>
                  <w:color w:val="auto"/>
                  <w:sz w:val="24"/>
                  <w:szCs w:val="24"/>
                  <w:u w:val="none"/>
                  <w:lang w:val="en-US"/>
                </w:rPr>
                <w:t>ru</w:t>
              </w:r>
              <w:proofErr w:type="spellEnd"/>
            </w:hyperlink>
          </w:p>
          <w:p w:rsidR="003357E8" w:rsidRPr="00621123" w:rsidRDefault="0063570D" w:rsidP="005D01B2">
            <w:pPr>
              <w:pStyle w:val="ConsPlusNormal"/>
              <w:jc w:val="both"/>
              <w:rPr>
                <w:sz w:val="24"/>
                <w:szCs w:val="24"/>
              </w:rPr>
            </w:pPr>
            <w:hyperlink r:id="rId9"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145B3F" w:rsidRPr="00621123" w:rsidRDefault="00212FB0" w:rsidP="00A372B6">
            <w:pPr>
              <w:pStyle w:val="ConsPlusNormal"/>
              <w:rPr>
                <w:sz w:val="24"/>
                <w:szCs w:val="24"/>
              </w:rPr>
            </w:pPr>
            <w:r>
              <w:rPr>
                <w:sz w:val="24"/>
                <w:szCs w:val="24"/>
              </w:rPr>
              <w:t xml:space="preserve">22 1 </w:t>
            </w:r>
            <w:r w:rsidRPr="00212FB0">
              <w:rPr>
                <w:sz w:val="24"/>
                <w:szCs w:val="24"/>
              </w:rPr>
              <w:t>7728013512 772801001</w:t>
            </w:r>
            <w:r>
              <w:rPr>
                <w:sz w:val="24"/>
                <w:szCs w:val="24"/>
              </w:rPr>
              <w:t xml:space="preserve"> 00</w:t>
            </w:r>
            <w:r w:rsidR="00255E2C">
              <w:rPr>
                <w:sz w:val="24"/>
                <w:szCs w:val="24"/>
              </w:rPr>
              <w:t>44</w:t>
            </w:r>
            <w:r>
              <w:rPr>
                <w:sz w:val="24"/>
                <w:szCs w:val="24"/>
              </w:rPr>
              <w:t xml:space="preserve"> 001 </w:t>
            </w:r>
            <w:r w:rsidR="00A372B6">
              <w:rPr>
                <w:sz w:val="24"/>
                <w:szCs w:val="24"/>
              </w:rPr>
              <w:t>4391</w:t>
            </w:r>
            <w:r>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3357E8"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F71296" w:rsidP="00F71296">
            <w:pPr>
              <w:pStyle w:val="ConsPlusNormal"/>
              <w:jc w:val="both"/>
              <w:rPr>
                <w:sz w:val="24"/>
                <w:szCs w:val="24"/>
              </w:rPr>
            </w:pPr>
            <w:r>
              <w:rPr>
                <w:sz w:val="24"/>
                <w:szCs w:val="24"/>
              </w:rPr>
              <w:t xml:space="preserve">Выполнение работ </w:t>
            </w:r>
            <w:r w:rsidRPr="00F71296">
              <w:rPr>
                <w:sz w:val="24"/>
                <w:szCs w:val="24"/>
              </w:rPr>
              <w:t>по текущему ремонту кро</w:t>
            </w:r>
            <w:r>
              <w:rPr>
                <w:sz w:val="24"/>
                <w:szCs w:val="24"/>
              </w:rPr>
              <w:t xml:space="preserve">вли корпуса общего назначения </w:t>
            </w:r>
            <w:r w:rsidRPr="00F71296">
              <w:rPr>
                <w:sz w:val="24"/>
                <w:szCs w:val="24"/>
              </w:rPr>
              <w:t>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Default="005D01B2" w:rsidP="00A372B6">
            <w:pPr>
              <w:pStyle w:val="ConsPlusNormal"/>
              <w:jc w:val="both"/>
              <w:rPr>
                <w:sz w:val="24"/>
                <w:szCs w:val="24"/>
              </w:rPr>
            </w:pPr>
            <w:r w:rsidRPr="005D01B2">
              <w:rPr>
                <w:sz w:val="24"/>
                <w:szCs w:val="24"/>
              </w:rPr>
              <w:t xml:space="preserve">ОКПД 2: </w:t>
            </w:r>
            <w:r w:rsidR="00A372B6">
              <w:rPr>
                <w:sz w:val="24"/>
                <w:szCs w:val="24"/>
              </w:rPr>
              <w:t>43.91.19.190 – Работы кровельные прочие, не включенные в другие группировки</w:t>
            </w:r>
            <w:r w:rsidR="00DC2E3E">
              <w:rPr>
                <w:sz w:val="24"/>
                <w:szCs w:val="24"/>
              </w:rPr>
              <w:t>.</w:t>
            </w:r>
          </w:p>
          <w:p w:rsidR="00DC2E3E" w:rsidRPr="00DC2E3E" w:rsidRDefault="00DC2E3E" w:rsidP="00A372B6">
            <w:pPr>
              <w:pStyle w:val="ConsPlusNormal"/>
              <w:jc w:val="both"/>
              <w:rPr>
                <w:i/>
                <w:sz w:val="24"/>
                <w:szCs w:val="24"/>
              </w:rPr>
            </w:pPr>
            <w:r w:rsidRPr="00DC2E3E">
              <w:rPr>
                <w:i/>
                <w:sz w:val="24"/>
                <w:szCs w:val="24"/>
              </w:rPr>
              <w:t xml:space="preserve">(КТРУ 43.91.10.000-00000004 - Работы кровельные) </w:t>
            </w:r>
          </w:p>
          <w:p w:rsidR="00DC2E3E" w:rsidRPr="00DC2E3E" w:rsidRDefault="00DC2E3E" w:rsidP="00A372B6">
            <w:pPr>
              <w:pStyle w:val="ConsPlusNormal"/>
              <w:jc w:val="both"/>
              <w:rPr>
                <w:i/>
                <w:sz w:val="24"/>
                <w:szCs w:val="24"/>
              </w:rPr>
            </w:pPr>
            <w:r w:rsidRPr="00DC2E3E">
              <w:rPr>
                <w:i/>
                <w:sz w:val="24"/>
                <w:szCs w:val="24"/>
              </w:rPr>
              <w:t>не применяется в виду обязательного применения с 01.01.2023.</w:t>
            </w:r>
          </w:p>
          <w:p w:rsidR="00DC2E3E" w:rsidRPr="00621123" w:rsidRDefault="00DC2E3E" w:rsidP="00A372B6">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3357E8"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3357E8"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 г. Москва, </w:t>
            </w:r>
          </w:p>
          <w:p w:rsidR="005D01B2" w:rsidRPr="00621123" w:rsidRDefault="005D01B2" w:rsidP="00BA7BF7">
            <w:pPr>
              <w:pStyle w:val="ConsPlusNormal"/>
              <w:jc w:val="both"/>
              <w:rPr>
                <w:sz w:val="24"/>
                <w:szCs w:val="24"/>
              </w:rPr>
            </w:pPr>
            <w:r w:rsidRPr="005D01B2">
              <w:rPr>
                <w:sz w:val="24"/>
                <w:szCs w:val="24"/>
              </w:rPr>
              <w:t xml:space="preserve">ул. </w:t>
            </w:r>
            <w:proofErr w:type="gramStart"/>
            <w:r w:rsidRPr="005D01B2">
              <w:rPr>
                <w:sz w:val="24"/>
                <w:szCs w:val="24"/>
              </w:rPr>
              <w:t>Профсоюзная</w:t>
            </w:r>
            <w:proofErr w:type="gramEnd"/>
            <w:r w:rsidRPr="005D01B2">
              <w:rPr>
                <w:sz w:val="24"/>
                <w:szCs w:val="24"/>
              </w:rPr>
              <w:t xml:space="preserve">, д. 65, </w:t>
            </w:r>
            <w:r w:rsidR="009D39DF">
              <w:rPr>
                <w:sz w:val="24"/>
                <w:szCs w:val="24"/>
              </w:rPr>
              <w:t xml:space="preserve"> строение 2 </w:t>
            </w:r>
            <w:r w:rsidR="00BA7BF7">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3357E8" w:rsidRDefault="008F1ED3" w:rsidP="008F1ED3">
            <w:pPr>
              <w:pStyle w:val="ConsPlusNormal"/>
              <w:jc w:val="both"/>
              <w:rPr>
                <w:sz w:val="24"/>
                <w:szCs w:val="24"/>
              </w:rPr>
            </w:pPr>
            <w:r>
              <w:rPr>
                <w:sz w:val="24"/>
                <w:szCs w:val="24"/>
              </w:rPr>
              <w:t xml:space="preserve">Срок выполнения работ: </w:t>
            </w:r>
            <w:r w:rsidRPr="008F1ED3">
              <w:rPr>
                <w:b/>
                <w:sz w:val="24"/>
                <w:szCs w:val="24"/>
              </w:rPr>
              <w:t>60 (шестьдесят</w:t>
            </w:r>
            <w:r w:rsidR="003D7430" w:rsidRPr="008F1ED3">
              <w:rPr>
                <w:b/>
                <w:sz w:val="24"/>
                <w:szCs w:val="24"/>
              </w:rPr>
              <w:t>) календарных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Контра</w:t>
            </w:r>
            <w:proofErr w:type="gramStart"/>
            <w:r w:rsidRPr="008F1ED3">
              <w:rPr>
                <w:sz w:val="24"/>
                <w:szCs w:val="24"/>
              </w:rPr>
              <w:t>кт вст</w:t>
            </w:r>
            <w:proofErr w:type="gramEnd"/>
            <w:r w:rsidRPr="008F1ED3">
              <w:rPr>
                <w:sz w:val="24"/>
                <w:szCs w:val="24"/>
              </w:rPr>
              <w:t xml:space="preserve">упает в силу </w:t>
            </w:r>
            <w:r>
              <w:rPr>
                <w:sz w:val="24"/>
                <w:szCs w:val="24"/>
              </w:rPr>
              <w:t>с даты</w:t>
            </w:r>
            <w:r w:rsidRPr="008F1ED3">
              <w:rPr>
                <w:sz w:val="24"/>
                <w:szCs w:val="24"/>
              </w:rPr>
              <w:t xml:space="preserve"> его за</w:t>
            </w:r>
            <w:r>
              <w:rPr>
                <w:sz w:val="24"/>
                <w:szCs w:val="24"/>
              </w:rPr>
              <w:t>ключения Сторонами и действует по 23</w:t>
            </w:r>
            <w:r w:rsidRPr="008F1ED3">
              <w:rPr>
                <w:sz w:val="24"/>
                <w:szCs w:val="24"/>
              </w:rPr>
              <w:t xml:space="preserve"> декабря 202</w:t>
            </w:r>
            <w:r>
              <w:rPr>
                <w:sz w:val="24"/>
                <w:szCs w:val="24"/>
              </w:rPr>
              <w:t>2</w:t>
            </w:r>
            <w:r w:rsidRPr="008F1ED3">
              <w:rPr>
                <w:sz w:val="24"/>
                <w:szCs w:val="24"/>
              </w:rPr>
              <w:t xml:space="preserve"> г. включительно</w:t>
            </w:r>
            <w:r>
              <w:rPr>
                <w:sz w:val="24"/>
                <w:szCs w:val="24"/>
              </w:rPr>
              <w:t xml:space="preserve">. </w:t>
            </w:r>
          </w:p>
          <w:p w:rsidR="00D2151A" w:rsidRPr="00621123" w:rsidRDefault="00D2151A" w:rsidP="008F1ED3">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3357E8"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8552DB" w:rsidRPr="00621123" w:rsidRDefault="008552DB">
            <w:pPr>
              <w:pStyle w:val="ConsPlusNormal"/>
              <w:rPr>
                <w:sz w:val="24"/>
                <w:szCs w:val="24"/>
              </w:rPr>
            </w:pPr>
          </w:p>
        </w:tc>
        <w:tc>
          <w:tcPr>
            <w:tcW w:w="5528" w:type="dxa"/>
          </w:tcPr>
          <w:p w:rsidR="00D2151A" w:rsidRPr="0016627A" w:rsidRDefault="008F1ED3" w:rsidP="008F1ED3">
            <w:pPr>
              <w:pStyle w:val="ConsPlusNormal"/>
              <w:jc w:val="both"/>
              <w:rPr>
                <w:b/>
                <w:sz w:val="24"/>
                <w:szCs w:val="24"/>
              </w:rPr>
            </w:pPr>
            <w:r>
              <w:rPr>
                <w:b/>
                <w:sz w:val="24"/>
                <w:szCs w:val="24"/>
              </w:rPr>
              <w:t>2 995 339</w:t>
            </w:r>
            <w:r w:rsidR="0016627A" w:rsidRPr="0016627A">
              <w:rPr>
                <w:b/>
                <w:sz w:val="24"/>
                <w:szCs w:val="24"/>
              </w:rPr>
              <w:t xml:space="preserve"> </w:t>
            </w:r>
            <w:r w:rsidR="0016627A" w:rsidRPr="008F1ED3">
              <w:rPr>
                <w:sz w:val="24"/>
                <w:szCs w:val="24"/>
              </w:rPr>
              <w:t>(</w:t>
            </w:r>
            <w:r w:rsidRPr="008F1ED3">
              <w:rPr>
                <w:sz w:val="24"/>
                <w:szCs w:val="24"/>
              </w:rPr>
              <w:t>Два миллиона девятьсот девяносто пять тысяч триста тридцать девять</w:t>
            </w:r>
            <w:r w:rsidR="00007DB1" w:rsidRPr="008F1ED3">
              <w:rPr>
                <w:sz w:val="24"/>
                <w:szCs w:val="24"/>
              </w:rPr>
              <w:t>)</w:t>
            </w:r>
            <w:r w:rsidR="00007DB1">
              <w:rPr>
                <w:b/>
                <w:sz w:val="24"/>
                <w:szCs w:val="24"/>
              </w:rPr>
              <w:t xml:space="preserve"> рублей</w:t>
            </w:r>
            <w:r w:rsidR="00BA7BF7">
              <w:rPr>
                <w:b/>
                <w:sz w:val="24"/>
                <w:szCs w:val="24"/>
              </w:rPr>
              <w:t xml:space="preserve"> </w:t>
            </w:r>
            <w:r>
              <w:rPr>
                <w:b/>
                <w:sz w:val="24"/>
                <w:szCs w:val="24"/>
              </w:rPr>
              <w:t>2</w:t>
            </w:r>
            <w:r w:rsidR="00BA7BF7">
              <w:rPr>
                <w:b/>
                <w:sz w:val="24"/>
                <w:szCs w:val="24"/>
              </w:rPr>
              <w:t>0</w:t>
            </w:r>
            <w:r w:rsidR="0016627A" w:rsidRPr="0016627A">
              <w:rPr>
                <w:b/>
                <w:sz w:val="24"/>
                <w:szCs w:val="24"/>
              </w:rPr>
              <w:t xml:space="preserve"> копеек, </w:t>
            </w:r>
            <w:r w:rsidR="0016627A" w:rsidRPr="008F1ED3">
              <w:rPr>
                <w:sz w:val="24"/>
                <w:szCs w:val="24"/>
              </w:rPr>
              <w:t xml:space="preserve">с учетом НДС 20% - </w:t>
            </w:r>
            <w:r>
              <w:rPr>
                <w:sz w:val="24"/>
                <w:szCs w:val="24"/>
              </w:rPr>
              <w:t>499 223,20</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3357E8"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 xml:space="preserve">нение работ), год бюджета </w:t>
            </w:r>
            <w:r w:rsidR="003357E8">
              <w:rPr>
                <w:sz w:val="24"/>
                <w:szCs w:val="24"/>
              </w:rPr>
              <w:t>–</w:t>
            </w:r>
            <w:r>
              <w:rPr>
                <w:sz w:val="24"/>
                <w:szCs w:val="24"/>
              </w:rPr>
              <w:t xml:space="preserve"> 2022</w:t>
            </w:r>
          </w:p>
          <w:p w:rsidR="008552DB" w:rsidRPr="00621123" w:rsidRDefault="008552DB" w:rsidP="005D01B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3357E8"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p w:rsidR="008552DB" w:rsidRPr="00621123" w:rsidRDefault="008552DB">
            <w:pPr>
              <w:pStyle w:val="ConsPlusNormal"/>
              <w:rPr>
                <w:sz w:val="24"/>
                <w:szCs w:val="24"/>
              </w:rPr>
            </w:pP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145B3F"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p w:rsidR="008552DB" w:rsidRPr="00621123" w:rsidRDefault="008552DB">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t xml:space="preserve">Не </w:t>
            </w:r>
            <w:proofErr w:type="gramStart"/>
            <w:r>
              <w:rPr>
                <w:sz w:val="24"/>
                <w:szCs w:val="24"/>
              </w:rPr>
              <w:t>установлены</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3357E8"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пунктом 1 части 1 статьи 31</w:t>
              </w:r>
            </w:hyperlink>
            <w:r w:rsidRPr="00A13319">
              <w:rPr>
                <w:sz w:val="24"/>
                <w:szCs w:val="24"/>
              </w:rPr>
              <w:t xml:space="preserve"> </w:t>
            </w:r>
            <w:r w:rsidRPr="00621123">
              <w:rPr>
                <w:sz w:val="24"/>
                <w:szCs w:val="24"/>
              </w:rPr>
              <w:t>Федерального закона</w:t>
            </w:r>
          </w:p>
          <w:p w:rsidR="008552DB" w:rsidRPr="00621123" w:rsidRDefault="008552DB">
            <w:pPr>
              <w:pStyle w:val="ConsPlusNormal"/>
              <w:rPr>
                <w:sz w:val="24"/>
                <w:szCs w:val="24"/>
              </w:rPr>
            </w:pPr>
          </w:p>
        </w:tc>
        <w:tc>
          <w:tcPr>
            <w:tcW w:w="5528" w:type="dxa"/>
          </w:tcPr>
          <w:p w:rsidR="002136DD" w:rsidRPr="00621123" w:rsidRDefault="008F1ED3" w:rsidP="00147433">
            <w:pPr>
              <w:pStyle w:val="ConsPlusNormal"/>
              <w:jc w:val="both"/>
              <w:rPr>
                <w:sz w:val="24"/>
                <w:szCs w:val="24"/>
              </w:rPr>
            </w:pPr>
            <w:r>
              <w:rPr>
                <w:sz w:val="24"/>
                <w:szCs w:val="24"/>
              </w:rPr>
              <w:t xml:space="preserve">Не </w:t>
            </w:r>
            <w:r w:rsidR="009D39DF">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6"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Default="00F71296">
            <w:pPr>
              <w:pStyle w:val="ConsPlusNormal"/>
              <w:rPr>
                <w:b/>
                <w:sz w:val="24"/>
                <w:szCs w:val="24"/>
              </w:rPr>
            </w:pPr>
            <w:r w:rsidRPr="00F71296">
              <w:rPr>
                <w:b/>
                <w:sz w:val="24"/>
                <w:szCs w:val="24"/>
              </w:rPr>
              <w:t>Установлено</w:t>
            </w:r>
          </w:p>
          <w:p w:rsidR="00145B3F" w:rsidRDefault="00F71296" w:rsidP="00A179C7">
            <w:pPr>
              <w:pStyle w:val="ConsPlusNormal"/>
              <w:jc w:val="both"/>
              <w:rPr>
                <w:sz w:val="24"/>
                <w:szCs w:val="24"/>
              </w:rPr>
            </w:pPr>
            <w:proofErr w:type="gramStart"/>
            <w:r w:rsidRPr="00A179C7">
              <w:rPr>
                <w:sz w:val="24"/>
                <w:szCs w:val="24"/>
              </w:rPr>
              <w:t>В соответствии</w:t>
            </w:r>
            <w:r w:rsidRPr="00A179C7">
              <w:rPr>
                <w:b/>
                <w:sz w:val="24"/>
                <w:szCs w:val="24"/>
              </w:rPr>
              <w:t xml:space="preserve"> с </w:t>
            </w:r>
            <w:r w:rsidR="00691636">
              <w:rPr>
                <w:b/>
                <w:sz w:val="24"/>
                <w:szCs w:val="24"/>
              </w:rPr>
              <w:t>позицией</w:t>
            </w:r>
            <w:r w:rsidRPr="00A179C7">
              <w:rPr>
                <w:b/>
                <w:sz w:val="24"/>
                <w:szCs w:val="24"/>
              </w:rPr>
              <w:t xml:space="preserve"> 15 «Работы по текущему ремонту зданий, сооружений» </w:t>
            </w:r>
            <w:r w:rsidR="00A179C7">
              <w:rPr>
                <w:sz w:val="24"/>
                <w:szCs w:val="24"/>
              </w:rPr>
              <w:t xml:space="preserve">приложения к постановлению </w:t>
            </w:r>
            <w:r>
              <w:rPr>
                <w:sz w:val="24"/>
                <w:szCs w:val="24"/>
              </w:rPr>
              <w:t>Правительства</w:t>
            </w:r>
            <w:r w:rsidR="00A179C7">
              <w:rPr>
                <w:sz w:val="24"/>
                <w:szCs w:val="24"/>
              </w:rPr>
              <w:t xml:space="preserve"> Российской Федерации от 29.12.2021 </w:t>
            </w:r>
            <w:r w:rsidRPr="00F71296">
              <w:rPr>
                <w:sz w:val="24"/>
                <w:szCs w:val="24"/>
              </w:rPr>
              <w:t>№</w:t>
            </w:r>
            <w:r w:rsidR="00A179C7">
              <w:rPr>
                <w:sz w:val="24"/>
                <w:szCs w:val="24"/>
              </w:rPr>
              <w:t xml:space="preserve"> </w:t>
            </w:r>
            <w:r w:rsidRPr="00F71296">
              <w:rPr>
                <w:sz w:val="24"/>
                <w:szCs w:val="24"/>
              </w:rPr>
              <w:t xml:space="preserve">2571 </w:t>
            </w:r>
            <w:r w:rsidR="00A179C7">
              <w:rPr>
                <w:sz w:val="24"/>
                <w:szCs w:val="24"/>
              </w:rPr>
              <w:t xml:space="preserve">                                 </w:t>
            </w:r>
            <w:r w:rsidRPr="00F71296">
              <w:rPr>
                <w:sz w:val="24"/>
                <w:szCs w:val="24"/>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w:t>
            </w:r>
            <w:proofErr w:type="gramEnd"/>
            <w:r w:rsidRPr="00F71296">
              <w:rPr>
                <w:sz w:val="24"/>
                <w:szCs w:val="24"/>
              </w:rPr>
              <w:t xml:space="preserve"> Правительства Российской Федерации»:</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Дополнительные требования к участникам закупки:</w:t>
            </w:r>
          </w:p>
          <w:p w:rsidR="00A179C7" w:rsidRPr="00A179C7" w:rsidRDefault="00A179C7" w:rsidP="00A179C7">
            <w:pPr>
              <w:pStyle w:val="ConsPlusNormal"/>
              <w:jc w:val="both"/>
              <w:rPr>
                <w:sz w:val="24"/>
                <w:szCs w:val="24"/>
              </w:rPr>
            </w:pPr>
            <w:r w:rsidRPr="00A179C7">
              <w:rPr>
                <w:sz w:val="24"/>
                <w:szCs w:val="24"/>
              </w:rPr>
              <w:t>наличие у участника закупки следующего опыта выполнения работ:</w:t>
            </w:r>
          </w:p>
          <w:p w:rsidR="00A179C7" w:rsidRPr="00A179C7" w:rsidRDefault="00A179C7" w:rsidP="00A179C7">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A179C7" w:rsidRDefault="00A179C7" w:rsidP="00A179C7">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3357E8" w:rsidRPr="00A179C7" w:rsidRDefault="003357E8" w:rsidP="00A179C7">
            <w:pPr>
              <w:pStyle w:val="ConsPlusNormal"/>
              <w:jc w:val="both"/>
              <w:rPr>
                <w:sz w:val="24"/>
                <w:szCs w:val="24"/>
              </w:rPr>
            </w:pPr>
          </w:p>
          <w:p w:rsidR="003357E8" w:rsidRDefault="00A179C7" w:rsidP="00A179C7">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A179C7" w:rsidRPr="00A179C7" w:rsidRDefault="00A179C7" w:rsidP="00A179C7">
            <w:pPr>
              <w:pStyle w:val="ConsPlusNormal"/>
              <w:jc w:val="both"/>
              <w:rPr>
                <w:sz w:val="24"/>
                <w:szCs w:val="24"/>
              </w:rPr>
            </w:pPr>
            <w:r w:rsidRPr="00A179C7">
              <w:rPr>
                <w:sz w:val="24"/>
                <w:szCs w:val="24"/>
              </w:rPr>
              <w:t>1) исполненный договор;</w:t>
            </w:r>
          </w:p>
          <w:p w:rsidR="00145B3F" w:rsidRDefault="00A179C7" w:rsidP="00A179C7">
            <w:pPr>
              <w:pStyle w:val="ConsPlusNormal"/>
              <w:jc w:val="both"/>
              <w:rPr>
                <w:sz w:val="24"/>
                <w:szCs w:val="24"/>
              </w:rPr>
            </w:pPr>
            <w:r w:rsidRPr="00A179C7">
              <w:rPr>
                <w:sz w:val="24"/>
                <w:szCs w:val="24"/>
              </w:rPr>
              <w:t>2) акт выполненных работ, подтв</w:t>
            </w:r>
            <w:r>
              <w:rPr>
                <w:sz w:val="24"/>
                <w:szCs w:val="24"/>
              </w:rPr>
              <w:t>е</w:t>
            </w:r>
            <w:r w:rsidR="003357E8">
              <w:rPr>
                <w:sz w:val="24"/>
                <w:szCs w:val="24"/>
              </w:rPr>
              <w:t>рждающий цену выполненных работ</w:t>
            </w:r>
            <w:r w:rsidR="008552DB">
              <w:rPr>
                <w:sz w:val="24"/>
                <w:szCs w:val="24"/>
              </w:rPr>
              <w:t>.</w:t>
            </w:r>
          </w:p>
          <w:p w:rsidR="008552DB" w:rsidRDefault="008552DB" w:rsidP="00A179C7">
            <w:pPr>
              <w:pStyle w:val="ConsPlusNormal"/>
              <w:jc w:val="both"/>
              <w:rPr>
                <w:sz w:val="24"/>
                <w:szCs w:val="24"/>
              </w:rPr>
            </w:pPr>
          </w:p>
          <w:p w:rsidR="003357E8" w:rsidRDefault="008552DB" w:rsidP="00A179C7">
            <w:pPr>
              <w:pStyle w:val="ConsPlusNormal"/>
              <w:jc w:val="both"/>
              <w:rPr>
                <w:i/>
                <w:sz w:val="24"/>
                <w:szCs w:val="24"/>
              </w:rPr>
            </w:pPr>
            <w:r w:rsidRPr="008552DB">
              <w:rPr>
                <w:i/>
                <w:sz w:val="24"/>
                <w:szCs w:val="24"/>
              </w:rPr>
              <w:t xml:space="preserve">Наличие опыта исполнения участником закупки </w:t>
            </w:r>
            <w:r w:rsidRPr="008552DB">
              <w:rPr>
                <w:i/>
                <w:sz w:val="24"/>
                <w:szCs w:val="24"/>
              </w:rPr>
              <w:lastRenderedPageBreak/>
              <w:t xml:space="preserve">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8552DB">
              <w:rPr>
                <w:i/>
                <w:sz w:val="24"/>
                <w:szCs w:val="24"/>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roofErr w:type="gramEnd"/>
          </w:p>
          <w:p w:rsidR="008552DB" w:rsidRPr="008552DB" w:rsidRDefault="008552DB" w:rsidP="00A179C7">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7"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8"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Pr="008F1ED3" w:rsidRDefault="008F1ED3" w:rsidP="008F1ED3">
            <w:pPr>
              <w:pStyle w:val="ConsPlusNormal"/>
              <w:jc w:val="both"/>
              <w:rPr>
                <w:b/>
                <w:sz w:val="24"/>
                <w:szCs w:val="24"/>
              </w:rPr>
            </w:pPr>
            <w:r w:rsidRPr="008F1ED3">
              <w:rPr>
                <w:b/>
                <w:sz w:val="24"/>
                <w:szCs w:val="24"/>
              </w:rPr>
              <w:t>Установлено</w:t>
            </w:r>
          </w:p>
          <w:p w:rsidR="003357E8" w:rsidRDefault="008F1ED3" w:rsidP="008F1ED3">
            <w:pPr>
              <w:pStyle w:val="ConsPlusNormal"/>
              <w:jc w:val="both"/>
              <w:rPr>
                <w:sz w:val="24"/>
                <w:szCs w:val="24"/>
              </w:rPr>
            </w:pPr>
            <w:proofErr w:type="gramStart"/>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roofErr w:type="gramEnd"/>
          </w:p>
          <w:p w:rsidR="008552DB" w:rsidRPr="00621123" w:rsidRDefault="008552DB" w:rsidP="008F1ED3">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3357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9" w:history="1">
              <w:r w:rsidRPr="004659E8">
                <w:rPr>
                  <w:sz w:val="24"/>
                  <w:szCs w:val="24"/>
                </w:rPr>
                <w:t>статьями 28</w:t>
              </w:r>
            </w:hyperlink>
            <w:r w:rsidRPr="004659E8">
              <w:rPr>
                <w:sz w:val="24"/>
                <w:szCs w:val="24"/>
              </w:rPr>
              <w:t xml:space="preserve"> и </w:t>
            </w:r>
            <w:hyperlink r:id="rId20" w:history="1">
              <w:r w:rsidRPr="004659E8">
                <w:rPr>
                  <w:sz w:val="24"/>
                  <w:szCs w:val="24"/>
                </w:rPr>
                <w:t>29</w:t>
              </w:r>
            </w:hyperlink>
            <w:r w:rsidRPr="004659E8">
              <w:rPr>
                <w:sz w:val="24"/>
                <w:szCs w:val="24"/>
              </w:rPr>
              <w:t xml:space="preserve"> Федерального закона</w:t>
            </w:r>
          </w:p>
          <w:p w:rsidR="008552DB" w:rsidRPr="004659E8" w:rsidRDefault="008552DB">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 xml:space="preserve">Не </w:t>
            </w:r>
            <w:proofErr w:type="gramStart"/>
            <w:r>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3357E8" w:rsidRDefault="00D2151A">
            <w:pPr>
              <w:pStyle w:val="ConsPlusNormal"/>
              <w:rPr>
                <w:sz w:val="24"/>
                <w:szCs w:val="24"/>
              </w:rPr>
            </w:pPr>
            <w:r w:rsidRPr="004659E8">
              <w:rPr>
                <w:sz w:val="24"/>
                <w:szCs w:val="24"/>
              </w:rPr>
              <w:t xml:space="preserve">Информация о преимуществах в соответствии с </w:t>
            </w:r>
            <w:hyperlink r:id="rId21" w:history="1">
              <w:r w:rsidRPr="004659E8">
                <w:rPr>
                  <w:sz w:val="24"/>
                  <w:szCs w:val="24"/>
                </w:rPr>
                <w:t>частью 3 статьи 30</w:t>
              </w:r>
            </w:hyperlink>
            <w:r w:rsidRPr="004659E8">
              <w:rPr>
                <w:sz w:val="24"/>
                <w:szCs w:val="24"/>
              </w:rPr>
              <w:t xml:space="preserve"> Федерального закона</w:t>
            </w:r>
          </w:p>
          <w:p w:rsidR="008552DB" w:rsidRPr="004659E8" w:rsidRDefault="008552DB">
            <w:pPr>
              <w:pStyle w:val="ConsPlusNormal"/>
              <w:rPr>
                <w:sz w:val="24"/>
                <w:szCs w:val="24"/>
              </w:rPr>
            </w:pPr>
          </w:p>
        </w:tc>
        <w:tc>
          <w:tcPr>
            <w:tcW w:w="5528" w:type="dxa"/>
          </w:tcPr>
          <w:p w:rsidR="00D2151A" w:rsidRPr="00621123" w:rsidRDefault="004659E8" w:rsidP="00CB62E0">
            <w:pPr>
              <w:pStyle w:val="ConsPlusNormal"/>
              <w:rPr>
                <w:sz w:val="24"/>
                <w:szCs w:val="24"/>
              </w:rPr>
            </w:pPr>
            <w:r>
              <w:rPr>
                <w:sz w:val="24"/>
                <w:szCs w:val="24"/>
              </w:rPr>
              <w:t xml:space="preserve">Не </w:t>
            </w:r>
            <w:proofErr w:type="gramStart"/>
            <w:r w:rsidR="00CB62E0">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3357E8"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2"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w:t>
            </w:r>
            <w:r w:rsidRPr="004659E8">
              <w:rPr>
                <w:sz w:val="24"/>
                <w:szCs w:val="24"/>
              </w:rPr>
              <w:lastRenderedPageBreak/>
              <w:t>социально ориентированных некоммерческих организаций</w:t>
            </w:r>
          </w:p>
          <w:p w:rsidR="008552DB" w:rsidRPr="00621123" w:rsidRDefault="008552DB">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3357E8"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552DB" w:rsidRPr="00621123" w:rsidRDefault="008552DB">
            <w:pPr>
              <w:pStyle w:val="ConsPlusNormal"/>
              <w:rPr>
                <w:sz w:val="24"/>
                <w:szCs w:val="24"/>
              </w:rPr>
            </w:pP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 xml:space="preserve">е </w:t>
            </w:r>
            <w:proofErr w:type="gramStart"/>
            <w:r w:rsidR="004659E8">
              <w:rPr>
                <w:sz w:val="24"/>
                <w:szCs w:val="24"/>
              </w:rPr>
              <w:t>установлен</w:t>
            </w:r>
            <w:r>
              <w:rPr>
                <w:sz w:val="24"/>
                <w:szCs w:val="24"/>
              </w:rPr>
              <w:t>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5B3F" w:rsidRDefault="009D32E9" w:rsidP="009D32E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Pr>
                <w:b/>
                <w:sz w:val="24"/>
                <w:szCs w:val="24"/>
              </w:rPr>
              <w:t>29 953</w:t>
            </w:r>
            <w:r w:rsidRPr="0037632A">
              <w:rPr>
                <w:sz w:val="24"/>
                <w:szCs w:val="24"/>
              </w:rPr>
              <w:t xml:space="preserve"> (</w:t>
            </w:r>
            <w:r>
              <w:rPr>
                <w:sz w:val="24"/>
                <w:szCs w:val="24"/>
              </w:rPr>
              <w:t>Двадцать девять тысяч девятьсот пятьдесят три</w:t>
            </w:r>
            <w:r w:rsidRPr="0037632A">
              <w:rPr>
                <w:sz w:val="24"/>
                <w:szCs w:val="24"/>
              </w:rPr>
              <w:t xml:space="preserve">) </w:t>
            </w:r>
            <w:r>
              <w:rPr>
                <w:b/>
                <w:sz w:val="24"/>
                <w:szCs w:val="24"/>
              </w:rPr>
              <w:t>рубля 39</w:t>
            </w:r>
            <w:r w:rsidRPr="0037632A">
              <w:rPr>
                <w:b/>
                <w:sz w:val="24"/>
                <w:szCs w:val="24"/>
              </w:rPr>
              <w:t xml:space="preserve"> копеек</w:t>
            </w:r>
            <w:r w:rsidRPr="0037632A">
              <w:rPr>
                <w:sz w:val="24"/>
                <w:szCs w:val="24"/>
              </w:rPr>
              <w:t>.</w:t>
            </w:r>
            <w:r>
              <w:rPr>
                <w:sz w:val="24"/>
                <w:szCs w:val="24"/>
              </w:rPr>
              <w:t xml:space="preserve"> </w:t>
            </w:r>
            <w:r w:rsidRPr="00254B8A">
              <w:rPr>
                <w:sz w:val="24"/>
                <w:szCs w:val="24"/>
              </w:rPr>
              <w:t>НДС не облагается.</w:t>
            </w:r>
          </w:p>
          <w:p w:rsidR="00145B3F" w:rsidRDefault="00145B3F" w:rsidP="009D32E9">
            <w:pPr>
              <w:pStyle w:val="ConsPlusNormal"/>
              <w:jc w:val="both"/>
              <w:rPr>
                <w:sz w:val="24"/>
                <w:szCs w:val="24"/>
              </w:rPr>
            </w:pPr>
          </w:p>
          <w:p w:rsidR="00145B3F" w:rsidRDefault="009D32E9" w:rsidP="009D32E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54B8A">
              <w:rPr>
                <w:sz w:val="24"/>
                <w:szCs w:val="24"/>
              </w:rPr>
              <w:t xml:space="preserve">с даты </w:t>
            </w:r>
            <w:r>
              <w:rPr>
                <w:sz w:val="24"/>
                <w:szCs w:val="24"/>
              </w:rPr>
              <w:t>окончания</w:t>
            </w:r>
            <w:proofErr w:type="gramEnd"/>
            <w:r>
              <w:rPr>
                <w:sz w:val="24"/>
                <w:szCs w:val="24"/>
              </w:rPr>
              <w:t xml:space="preserve"> срока подачи заявок.</w:t>
            </w:r>
          </w:p>
          <w:p w:rsidR="00145B3F" w:rsidRDefault="00145B3F" w:rsidP="009D32E9">
            <w:pPr>
              <w:pStyle w:val="ConsPlusNormal"/>
              <w:jc w:val="both"/>
              <w:rPr>
                <w:sz w:val="24"/>
                <w:szCs w:val="24"/>
              </w:rPr>
            </w:pPr>
          </w:p>
          <w:p w:rsidR="003357E8" w:rsidRDefault="009D32E9" w:rsidP="009D39DF">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о проведении электронного аукциона на </w:t>
            </w:r>
            <w:r w:rsidR="009D39DF">
              <w:rPr>
                <w:i/>
                <w:sz w:val="24"/>
                <w:szCs w:val="24"/>
              </w:rPr>
              <w:t>выполнение работ по текущему ремонту кровли корпуса общего назначения ИПУ РАН</w:t>
            </w:r>
          </w:p>
          <w:p w:rsidR="008552DB" w:rsidRPr="003357E8" w:rsidRDefault="008552DB" w:rsidP="009D39DF">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Pr="00251A5C">
              <w:rPr>
                <w:sz w:val="24"/>
                <w:szCs w:val="24"/>
              </w:rPr>
              <w:t xml:space="preserve">В.А. Трапезникова   Российской академии наук </w:t>
            </w:r>
            <w:r w:rsidR="005333E6">
              <w:rPr>
                <w:sz w:val="24"/>
                <w:szCs w:val="24"/>
              </w:rPr>
              <w:br/>
            </w:r>
            <w:r w:rsidRPr="00251A5C">
              <w:rPr>
                <w:sz w:val="24"/>
                <w:szCs w:val="24"/>
              </w:rPr>
              <w:t>(ИПУ РАН)</w:t>
            </w:r>
          </w:p>
          <w:p w:rsidR="00A179C7" w:rsidRDefault="00A179C7"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3357E8" w:rsidRDefault="005333E6" w:rsidP="00A56968">
            <w:pPr>
              <w:pStyle w:val="ConsPlusNormal"/>
              <w:jc w:val="both"/>
              <w:rPr>
                <w:sz w:val="24"/>
                <w:szCs w:val="24"/>
              </w:rPr>
            </w:pPr>
            <w:proofErr w:type="gramStart"/>
            <w:r>
              <w:rPr>
                <w:sz w:val="24"/>
                <w:szCs w:val="24"/>
              </w:rPr>
              <w:t>л</w:t>
            </w:r>
            <w:proofErr w:type="gramEnd"/>
            <w:r>
              <w:rPr>
                <w:sz w:val="24"/>
                <w:szCs w:val="24"/>
              </w:rPr>
              <w:t>/с 20736Ц83220</w:t>
            </w:r>
          </w:p>
          <w:p w:rsidR="008552DB" w:rsidRPr="00621123" w:rsidRDefault="008552DB"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w:t>
            </w:r>
            <w:r w:rsidRPr="00621123">
              <w:rPr>
                <w:sz w:val="24"/>
                <w:szCs w:val="24"/>
              </w:rPr>
              <w:lastRenderedPageBreak/>
              <w:t>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lastRenderedPageBreak/>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8F1ED3">
              <w:rPr>
                <w:b/>
                <w:sz w:val="24"/>
                <w:szCs w:val="24"/>
              </w:rPr>
              <w:t>299 533</w:t>
            </w:r>
            <w:r w:rsidRPr="00251A5C">
              <w:rPr>
                <w:b/>
                <w:sz w:val="24"/>
                <w:szCs w:val="24"/>
              </w:rPr>
              <w:t xml:space="preserve"> </w:t>
            </w:r>
            <w:r w:rsidRPr="008F1ED3">
              <w:rPr>
                <w:sz w:val="24"/>
                <w:szCs w:val="24"/>
              </w:rPr>
              <w:t>(</w:t>
            </w:r>
            <w:r w:rsidR="008F1ED3" w:rsidRPr="008F1ED3">
              <w:rPr>
                <w:sz w:val="24"/>
                <w:szCs w:val="24"/>
              </w:rPr>
              <w:t xml:space="preserve">Двести девяносто девять тысяч </w:t>
            </w:r>
            <w:r w:rsidR="008F1ED3" w:rsidRPr="008F1ED3">
              <w:rPr>
                <w:sz w:val="24"/>
                <w:szCs w:val="24"/>
              </w:rPr>
              <w:lastRenderedPageBreak/>
              <w:t>пятьсот тридцать три)</w:t>
            </w:r>
            <w:r w:rsidR="008F1ED3">
              <w:rPr>
                <w:b/>
                <w:sz w:val="24"/>
                <w:szCs w:val="24"/>
              </w:rPr>
              <w:t xml:space="preserve"> </w:t>
            </w:r>
            <w:r>
              <w:rPr>
                <w:b/>
                <w:sz w:val="24"/>
                <w:szCs w:val="24"/>
              </w:rPr>
              <w:t>рубл</w:t>
            </w:r>
            <w:r w:rsidR="008F1ED3">
              <w:rPr>
                <w:b/>
                <w:sz w:val="24"/>
                <w:szCs w:val="24"/>
              </w:rPr>
              <w:t>я</w:t>
            </w:r>
            <w:r w:rsidRPr="00251A5C">
              <w:rPr>
                <w:b/>
                <w:sz w:val="24"/>
                <w:szCs w:val="24"/>
              </w:rPr>
              <w:t xml:space="preserve"> </w:t>
            </w:r>
            <w:r w:rsidR="008F1ED3">
              <w:rPr>
                <w:b/>
                <w:sz w:val="24"/>
                <w:szCs w:val="24"/>
              </w:rPr>
              <w:t>92 копейки</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3357E8"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bCs/>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извещению</w:t>
            </w:r>
            <w:r w:rsidR="007178DE" w:rsidRPr="007E3BE4">
              <w:rPr>
                <w:rFonts w:asciiTheme="minorHAnsi"/>
                <w:bCs/>
                <w:i/>
                <w:color w:val="000000"/>
                <w:sz w:val="24"/>
                <w:szCs w:val="24"/>
              </w:rPr>
              <w:t xml:space="preserve"> </w:t>
            </w:r>
            <w:r w:rsidR="007178DE" w:rsidRPr="007E3BE4">
              <w:rPr>
                <w:bCs/>
                <w:i/>
                <w:sz w:val="24"/>
                <w:szCs w:val="24"/>
              </w:rPr>
              <w:t xml:space="preserve">об осуществлении закупки электронного аукциона на </w:t>
            </w:r>
            <w:r w:rsidR="008F1ED3">
              <w:rPr>
                <w:bCs/>
                <w:i/>
                <w:sz w:val="24"/>
                <w:szCs w:val="24"/>
              </w:rPr>
              <w:t>выполнение работ по текущему ремонту кровли</w:t>
            </w:r>
            <w:r w:rsidR="00025F7B">
              <w:rPr>
                <w:bCs/>
                <w:i/>
                <w:sz w:val="24"/>
                <w:szCs w:val="24"/>
              </w:rPr>
              <w:t xml:space="preserve"> корпуса</w:t>
            </w:r>
            <w:r w:rsidR="008F1ED3">
              <w:rPr>
                <w:bCs/>
                <w:i/>
                <w:sz w:val="24"/>
                <w:szCs w:val="24"/>
              </w:rPr>
              <w:t xml:space="preserve"> общего назначения ИПУ РАН.</w:t>
            </w:r>
          </w:p>
          <w:p w:rsidR="003357E8" w:rsidRPr="00A179C7" w:rsidRDefault="003357E8"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Default="00251A5C" w:rsidP="00251A5C">
            <w:pPr>
              <w:pStyle w:val="ConsPlusNormal"/>
              <w:jc w:val="both"/>
              <w:rPr>
                <w:sz w:val="24"/>
                <w:szCs w:val="24"/>
              </w:rPr>
            </w:pPr>
            <w:r w:rsidRPr="00251A5C">
              <w:rPr>
                <w:sz w:val="24"/>
                <w:szCs w:val="24"/>
              </w:rPr>
              <w:t xml:space="preserve">ИНН   7728013512 / КПП   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w:t>
            </w:r>
            <w:proofErr w:type="gramStart"/>
            <w:r w:rsidRPr="00CA47F1">
              <w:rPr>
                <w:b/>
                <w:sz w:val="24"/>
                <w:szCs w:val="24"/>
              </w:rPr>
              <w:t>ств</w:t>
            </w:r>
            <w:r w:rsidRPr="00CA47F1">
              <w:rPr>
                <w:sz w:val="24"/>
                <w:szCs w:val="24"/>
              </w:rPr>
              <w:t xml:space="preserve"> пр</w:t>
            </w:r>
            <w:proofErr w:type="gramEnd"/>
            <w:r w:rsidRPr="00CA47F1">
              <w:rPr>
                <w:sz w:val="24"/>
                <w:szCs w:val="24"/>
              </w:rPr>
              <w:t xml:space="preserve">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xml:space="preserve">, что </w:t>
            </w:r>
            <w:r w:rsidRPr="00CA47F1">
              <w:rPr>
                <w:sz w:val="24"/>
                <w:szCs w:val="24"/>
              </w:rPr>
              <w:lastRenderedPageBreak/>
              <w:t xml:space="preserve">составляет </w:t>
            </w:r>
            <w:r w:rsidR="007C2AA9" w:rsidRPr="007C2AA9">
              <w:rPr>
                <w:b/>
                <w:sz w:val="24"/>
                <w:szCs w:val="24"/>
              </w:rPr>
              <w:t>299 533</w:t>
            </w:r>
            <w:r w:rsidRPr="007C2AA9">
              <w:rPr>
                <w:b/>
                <w:sz w:val="24"/>
                <w:szCs w:val="24"/>
              </w:rPr>
              <w:t xml:space="preserve"> </w:t>
            </w:r>
            <w:r w:rsidRPr="00CA47F1">
              <w:rPr>
                <w:sz w:val="24"/>
                <w:szCs w:val="24"/>
              </w:rPr>
              <w:t>(</w:t>
            </w:r>
            <w:r w:rsidR="007C2AA9">
              <w:rPr>
                <w:sz w:val="24"/>
                <w:szCs w:val="24"/>
              </w:rPr>
              <w:t>Двести девяносто девять тысяч пятьсот тридцать три</w:t>
            </w:r>
            <w:r w:rsidRPr="00CA47F1">
              <w:rPr>
                <w:sz w:val="24"/>
                <w:szCs w:val="24"/>
              </w:rPr>
              <w:t xml:space="preserve">) </w:t>
            </w:r>
            <w:r w:rsidRPr="007C2AA9">
              <w:rPr>
                <w:b/>
                <w:sz w:val="24"/>
                <w:szCs w:val="24"/>
              </w:rPr>
              <w:t>рубля 9</w:t>
            </w:r>
            <w:r w:rsidR="007C2AA9" w:rsidRPr="007C2AA9">
              <w:rPr>
                <w:b/>
                <w:sz w:val="24"/>
                <w:szCs w:val="24"/>
              </w:rPr>
              <w:t>2</w:t>
            </w:r>
            <w:r w:rsidRPr="007C2AA9">
              <w:rPr>
                <w:b/>
                <w:color w:val="FF0000"/>
                <w:sz w:val="24"/>
                <w:szCs w:val="24"/>
              </w:rPr>
              <w:t xml:space="preserve"> </w:t>
            </w:r>
            <w:r w:rsidRPr="007C2AA9">
              <w:rPr>
                <w:b/>
                <w:sz w:val="24"/>
                <w:szCs w:val="24"/>
              </w:rPr>
              <w:t>копе</w:t>
            </w:r>
            <w:r w:rsidR="007C2AA9" w:rsidRPr="007C2AA9">
              <w:rPr>
                <w:b/>
                <w:sz w:val="24"/>
                <w:szCs w:val="24"/>
              </w:rPr>
              <w:t>йки</w:t>
            </w:r>
            <w:r w:rsidRPr="00CA47F1">
              <w:rPr>
                <w:sz w:val="24"/>
                <w:szCs w:val="24"/>
              </w:rPr>
              <w:t>.  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w:t>
            </w:r>
            <w:proofErr w:type="gramStart"/>
            <w:r w:rsidRPr="00503DA5">
              <w:rPr>
                <w:sz w:val="24"/>
                <w:szCs w:val="24"/>
              </w:rPr>
              <w:t>ств пр</w:t>
            </w:r>
            <w:proofErr w:type="gramEnd"/>
            <w:r w:rsidRPr="00503DA5">
              <w:rPr>
                <w:sz w:val="24"/>
                <w:szCs w:val="24"/>
              </w:rPr>
              <w:t>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3357E8"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8552DB" w:rsidRPr="00503DA5" w:rsidRDefault="008552DB"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3357E8" w:rsidRPr="00503DA5" w:rsidRDefault="003357E8" w:rsidP="008F1ED3">
            <w:pPr>
              <w:pStyle w:val="ConsPlusNormal"/>
              <w:jc w:val="both"/>
              <w:rPr>
                <w:sz w:val="24"/>
                <w:szCs w:val="24"/>
              </w:rPr>
            </w:pPr>
          </w:p>
          <w:p w:rsidR="00145B3F" w:rsidRDefault="007C2AA9" w:rsidP="008F1ED3">
            <w:pPr>
              <w:pStyle w:val="ConsPlusNormal"/>
              <w:jc w:val="both"/>
              <w:rPr>
                <w:sz w:val="24"/>
                <w:szCs w:val="24"/>
              </w:rPr>
            </w:pPr>
            <w:r w:rsidRPr="007C2AA9">
              <w:rPr>
                <w:sz w:val="24"/>
                <w:szCs w:val="24"/>
              </w:rPr>
              <w:t>Срок предоставления обеспечения – не позднее даты окончания выполнения Работ.</w:t>
            </w:r>
          </w:p>
          <w:p w:rsidR="00145B3F" w:rsidRPr="00503DA5" w:rsidRDefault="00145B3F" w:rsidP="008F1ED3">
            <w:pPr>
              <w:pStyle w:val="ConsPlusNormal"/>
              <w:jc w:val="both"/>
              <w:rPr>
                <w:sz w:val="24"/>
                <w:szCs w:val="24"/>
              </w:rPr>
            </w:pPr>
          </w:p>
          <w:p w:rsidR="003357E8"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Извещению о проведении электронного аукциона на </w:t>
            </w:r>
            <w:r w:rsidR="007C2AA9">
              <w:rPr>
                <w:i/>
                <w:sz w:val="24"/>
                <w:szCs w:val="24"/>
              </w:rPr>
              <w:t>выполнение работ по текущему ремонту кровли</w:t>
            </w:r>
            <w:r w:rsidR="00025F7B">
              <w:rPr>
                <w:i/>
                <w:sz w:val="24"/>
                <w:szCs w:val="24"/>
              </w:rPr>
              <w:t xml:space="preserve"> корпуса </w:t>
            </w:r>
            <w:r w:rsidR="00145B3F">
              <w:rPr>
                <w:i/>
                <w:sz w:val="24"/>
                <w:szCs w:val="24"/>
              </w:rPr>
              <w:t>общего назначения ИПУ РАН</w:t>
            </w:r>
          </w:p>
          <w:p w:rsidR="008552DB" w:rsidRPr="003357E8" w:rsidRDefault="008552DB" w:rsidP="007C2AA9">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3357E8"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p w:rsidR="008552DB" w:rsidRPr="00621123" w:rsidRDefault="008552DB" w:rsidP="00CB0AE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3357E8"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p w:rsidR="008552DB" w:rsidRPr="00621123" w:rsidRDefault="008552DB">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3357E8"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p w:rsidR="008552DB" w:rsidRPr="00621123" w:rsidRDefault="008552DB">
            <w:pPr>
              <w:pStyle w:val="ConsPlusNormal"/>
              <w:rPr>
                <w:sz w:val="24"/>
                <w:szCs w:val="24"/>
              </w:rPr>
            </w:pP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3357E8"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8552DB" w:rsidRPr="00EC798E" w:rsidRDefault="008552DB">
            <w:pPr>
              <w:pStyle w:val="ConsPlusNormal"/>
              <w:rPr>
                <w:sz w:val="24"/>
                <w:szCs w:val="24"/>
              </w:rPr>
            </w:pPr>
          </w:p>
        </w:tc>
        <w:tc>
          <w:tcPr>
            <w:tcW w:w="5528" w:type="dxa"/>
          </w:tcPr>
          <w:p w:rsidR="00D2151A" w:rsidRPr="00EC798E" w:rsidRDefault="0092164D" w:rsidP="00DB4598">
            <w:pPr>
              <w:pStyle w:val="ConsPlusNormal"/>
              <w:rPr>
                <w:sz w:val="24"/>
                <w:szCs w:val="24"/>
              </w:rPr>
            </w:pPr>
            <w:r>
              <w:rPr>
                <w:b/>
                <w:sz w:val="24"/>
                <w:szCs w:val="24"/>
              </w:rPr>
              <w:t xml:space="preserve">«28» июля </w:t>
            </w:r>
            <w:r w:rsidR="00CF3B61" w:rsidRPr="000804F1">
              <w:rPr>
                <w:b/>
                <w:sz w:val="24"/>
                <w:szCs w:val="24"/>
              </w:rPr>
              <w:t xml:space="preserve">2022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w:t>
            </w:r>
            <w:proofErr w:type="gramStart"/>
            <w:r w:rsidR="00E3396B" w:rsidRPr="00EC798E">
              <w:rPr>
                <w:sz w:val="24"/>
                <w:szCs w:val="24"/>
              </w:rPr>
              <w:t>МСК</w:t>
            </w:r>
            <w:proofErr w:type="gramEnd"/>
            <w:r w:rsidR="00E3396B" w:rsidRPr="00EC798E">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 xml:space="preserve">Дата проведения процедуры подачи предложений о цене контракта либо </w:t>
            </w:r>
            <w:r w:rsidRPr="00EC798E">
              <w:rPr>
                <w:sz w:val="24"/>
                <w:szCs w:val="24"/>
              </w:rPr>
              <w:lastRenderedPageBreak/>
              <w:t>о сумме цен единиц товара, работы, услуги</w:t>
            </w:r>
          </w:p>
        </w:tc>
        <w:tc>
          <w:tcPr>
            <w:tcW w:w="5528" w:type="dxa"/>
          </w:tcPr>
          <w:p w:rsidR="00437235" w:rsidRPr="000804F1" w:rsidRDefault="0092164D" w:rsidP="004115C4">
            <w:pPr>
              <w:pStyle w:val="ConsPlusNormal"/>
              <w:rPr>
                <w:b/>
                <w:sz w:val="24"/>
                <w:szCs w:val="24"/>
              </w:rPr>
            </w:pPr>
            <w:r>
              <w:rPr>
                <w:b/>
                <w:sz w:val="24"/>
                <w:szCs w:val="24"/>
              </w:rPr>
              <w:lastRenderedPageBreak/>
              <w:t>«28» июля</w:t>
            </w:r>
            <w:r w:rsidR="00CF3B61" w:rsidRPr="000804F1">
              <w:rPr>
                <w:b/>
                <w:sz w:val="24"/>
                <w:szCs w:val="24"/>
              </w:rPr>
              <w:t xml:space="preserve"> 2022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lastRenderedPageBreak/>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92164D">
              <w:rPr>
                <w:b/>
                <w:sz w:val="24"/>
                <w:szCs w:val="24"/>
              </w:rPr>
              <w:t xml:space="preserve">01» августа </w:t>
            </w:r>
            <w:r w:rsidR="0036050C" w:rsidRPr="000804F1">
              <w:rPr>
                <w:b/>
                <w:sz w:val="24"/>
                <w:szCs w:val="24"/>
              </w:rPr>
              <w:t xml:space="preserve">2022 </w:t>
            </w:r>
            <w:r w:rsidR="00437235" w:rsidRPr="000804F1">
              <w:rPr>
                <w:b/>
                <w:sz w:val="24"/>
                <w:szCs w:val="24"/>
              </w:rPr>
              <w:t>г.</w:t>
            </w:r>
          </w:p>
          <w:p w:rsidR="00437235" w:rsidRPr="008D43B7" w:rsidRDefault="00437235" w:rsidP="00E47492">
            <w:pPr>
              <w:pStyle w:val="ConsPlusNormal"/>
              <w:rPr>
                <w:sz w:val="24"/>
                <w:szCs w:val="24"/>
              </w:rPr>
            </w:pPr>
            <w:bookmarkStart w:id="0" w:name="_GoBack"/>
            <w:bookmarkEnd w:id="0"/>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25F7B">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proofErr w:type="gramStart"/>
            <w:r w:rsidR="00025F7B">
              <w:rPr>
                <w:sz w:val="24"/>
                <w:szCs w:val="24"/>
              </w:rPr>
              <w:t>в</w:t>
            </w:r>
            <w:proofErr w:type="gramEnd"/>
            <w:r w:rsidR="00025F7B">
              <w:rPr>
                <w:sz w:val="24"/>
                <w:szCs w:val="24"/>
              </w:rPr>
              <w:t xml:space="preserve"> </w:t>
            </w:r>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7C2AA9" w:rsidRPr="0016716D" w:rsidRDefault="007C2AA9" w:rsidP="007C2AA9">
      <w:pPr>
        <w:spacing w:after="0"/>
        <w:jc w:val="both"/>
        <w:rPr>
          <w:sz w:val="20"/>
          <w:szCs w:val="20"/>
        </w:rPr>
      </w:pPr>
      <w:r w:rsidRPr="0016716D">
        <w:rPr>
          <w:sz w:val="20"/>
          <w:szCs w:val="20"/>
        </w:rPr>
        <w:t>Исп.</w:t>
      </w:r>
    </w:p>
    <w:p w:rsidR="007C2AA9" w:rsidRPr="0016716D" w:rsidRDefault="007C2AA9" w:rsidP="007C2AA9">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7C2AA9" w:rsidRPr="0016716D" w:rsidRDefault="007C2AA9" w:rsidP="007C2AA9">
      <w:pPr>
        <w:spacing w:after="0"/>
        <w:jc w:val="both"/>
        <w:rPr>
          <w:sz w:val="20"/>
          <w:szCs w:val="20"/>
        </w:rPr>
      </w:pPr>
      <w:r>
        <w:rPr>
          <w:sz w:val="20"/>
          <w:szCs w:val="20"/>
        </w:rPr>
        <w:t>Аванесова Е.А</w:t>
      </w:r>
      <w:r w:rsidRPr="0016716D">
        <w:rPr>
          <w:sz w:val="20"/>
          <w:szCs w:val="20"/>
        </w:rPr>
        <w:t>.</w:t>
      </w:r>
    </w:p>
    <w:p w:rsidR="007C2AA9" w:rsidRPr="001D4FEA" w:rsidRDefault="007C2AA9" w:rsidP="007C2AA9">
      <w:pPr>
        <w:jc w:val="both"/>
        <w:rPr>
          <w:sz w:val="20"/>
          <w:szCs w:val="20"/>
        </w:rPr>
      </w:pPr>
      <w:r w:rsidRPr="0016716D">
        <w:rPr>
          <w:sz w:val="20"/>
          <w:szCs w:val="20"/>
        </w:rPr>
        <w:t>Тел. 84951981720 доб.16</w:t>
      </w:r>
      <w:r>
        <w:rPr>
          <w:sz w:val="20"/>
          <w:szCs w:val="20"/>
        </w:rPr>
        <w:t>06</w:t>
      </w:r>
    </w:p>
    <w:sectPr w:rsidR="007C2AA9" w:rsidRPr="001D4FEA"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804F1"/>
    <w:rsid w:val="000B0541"/>
    <w:rsid w:val="000E39DF"/>
    <w:rsid w:val="000E618E"/>
    <w:rsid w:val="00114560"/>
    <w:rsid w:val="00121ED9"/>
    <w:rsid w:val="001455E7"/>
    <w:rsid w:val="00145B3F"/>
    <w:rsid w:val="00147433"/>
    <w:rsid w:val="0016627A"/>
    <w:rsid w:val="001A7C0F"/>
    <w:rsid w:val="001C6CC4"/>
    <w:rsid w:val="001E1AF6"/>
    <w:rsid w:val="00212FB0"/>
    <w:rsid w:val="002136DD"/>
    <w:rsid w:val="00234B41"/>
    <w:rsid w:val="00251A5C"/>
    <w:rsid w:val="00255E2C"/>
    <w:rsid w:val="00263327"/>
    <w:rsid w:val="002927FC"/>
    <w:rsid w:val="002A6C36"/>
    <w:rsid w:val="002C491F"/>
    <w:rsid w:val="002D0D2A"/>
    <w:rsid w:val="002F5455"/>
    <w:rsid w:val="003357E8"/>
    <w:rsid w:val="0034192D"/>
    <w:rsid w:val="0036050C"/>
    <w:rsid w:val="003647E4"/>
    <w:rsid w:val="00370D0B"/>
    <w:rsid w:val="00390005"/>
    <w:rsid w:val="003D7430"/>
    <w:rsid w:val="003E0974"/>
    <w:rsid w:val="003E3EDB"/>
    <w:rsid w:val="004115C4"/>
    <w:rsid w:val="00416433"/>
    <w:rsid w:val="004301BC"/>
    <w:rsid w:val="00437235"/>
    <w:rsid w:val="00464276"/>
    <w:rsid w:val="004659E8"/>
    <w:rsid w:val="00484C1F"/>
    <w:rsid w:val="004A450E"/>
    <w:rsid w:val="004A4828"/>
    <w:rsid w:val="00507EB1"/>
    <w:rsid w:val="005333E6"/>
    <w:rsid w:val="00544187"/>
    <w:rsid w:val="005805FA"/>
    <w:rsid w:val="005C6956"/>
    <w:rsid w:val="005D01B2"/>
    <w:rsid w:val="005D7D91"/>
    <w:rsid w:val="005F71E8"/>
    <w:rsid w:val="00610890"/>
    <w:rsid w:val="00621123"/>
    <w:rsid w:val="0063570D"/>
    <w:rsid w:val="006453C3"/>
    <w:rsid w:val="00683B5D"/>
    <w:rsid w:val="00691636"/>
    <w:rsid w:val="006B41DE"/>
    <w:rsid w:val="006C2A62"/>
    <w:rsid w:val="006D13B1"/>
    <w:rsid w:val="00702976"/>
    <w:rsid w:val="007178DE"/>
    <w:rsid w:val="00756ADB"/>
    <w:rsid w:val="00792C53"/>
    <w:rsid w:val="007C2AA9"/>
    <w:rsid w:val="007E0A2E"/>
    <w:rsid w:val="007E3BE4"/>
    <w:rsid w:val="008040FD"/>
    <w:rsid w:val="00824ABC"/>
    <w:rsid w:val="00851DC8"/>
    <w:rsid w:val="008552DB"/>
    <w:rsid w:val="008666BC"/>
    <w:rsid w:val="00890237"/>
    <w:rsid w:val="008C273B"/>
    <w:rsid w:val="008D0957"/>
    <w:rsid w:val="008D43B7"/>
    <w:rsid w:val="008E4362"/>
    <w:rsid w:val="008F1ED3"/>
    <w:rsid w:val="008F3574"/>
    <w:rsid w:val="008F4F3A"/>
    <w:rsid w:val="0092164D"/>
    <w:rsid w:val="00924326"/>
    <w:rsid w:val="00927E30"/>
    <w:rsid w:val="00967CB6"/>
    <w:rsid w:val="0099238F"/>
    <w:rsid w:val="00996E7A"/>
    <w:rsid w:val="009A4493"/>
    <w:rsid w:val="009A78B0"/>
    <w:rsid w:val="009D32E9"/>
    <w:rsid w:val="009D39DF"/>
    <w:rsid w:val="009E6E01"/>
    <w:rsid w:val="009F76A5"/>
    <w:rsid w:val="00A0352D"/>
    <w:rsid w:val="00A13319"/>
    <w:rsid w:val="00A179C7"/>
    <w:rsid w:val="00A36C69"/>
    <w:rsid w:val="00A372B6"/>
    <w:rsid w:val="00A56968"/>
    <w:rsid w:val="00AD1449"/>
    <w:rsid w:val="00AD4BBA"/>
    <w:rsid w:val="00AF0D37"/>
    <w:rsid w:val="00B251DE"/>
    <w:rsid w:val="00B276E6"/>
    <w:rsid w:val="00B9778A"/>
    <w:rsid w:val="00BA7BF7"/>
    <w:rsid w:val="00C0744E"/>
    <w:rsid w:val="00C13AA7"/>
    <w:rsid w:val="00C95FFA"/>
    <w:rsid w:val="00CA12F4"/>
    <w:rsid w:val="00CA295F"/>
    <w:rsid w:val="00CB0AE0"/>
    <w:rsid w:val="00CB62E0"/>
    <w:rsid w:val="00CC2141"/>
    <w:rsid w:val="00CC3081"/>
    <w:rsid w:val="00CC343A"/>
    <w:rsid w:val="00CC3DF1"/>
    <w:rsid w:val="00CD6FD8"/>
    <w:rsid w:val="00CD7A15"/>
    <w:rsid w:val="00CF3B61"/>
    <w:rsid w:val="00D16C37"/>
    <w:rsid w:val="00D214A0"/>
    <w:rsid w:val="00D2151A"/>
    <w:rsid w:val="00D7101B"/>
    <w:rsid w:val="00D95374"/>
    <w:rsid w:val="00DB0DC6"/>
    <w:rsid w:val="00DB4598"/>
    <w:rsid w:val="00DC2E3E"/>
    <w:rsid w:val="00E3396B"/>
    <w:rsid w:val="00E46724"/>
    <w:rsid w:val="00E47492"/>
    <w:rsid w:val="00E63A04"/>
    <w:rsid w:val="00EA5440"/>
    <w:rsid w:val="00EC798E"/>
    <w:rsid w:val="00F22FF1"/>
    <w:rsid w:val="00F529FA"/>
    <w:rsid w:val="00F71296"/>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995E-92B9-40A4-990B-955973F1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47</cp:revision>
  <cp:lastPrinted>2022-07-15T08:46:00Z</cp:lastPrinted>
  <dcterms:created xsi:type="dcterms:W3CDTF">2022-02-08T08:25:00Z</dcterms:created>
  <dcterms:modified xsi:type="dcterms:W3CDTF">2022-07-18T12:33:00Z</dcterms:modified>
</cp:coreProperties>
</file>