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52576554" w14:textId="223ABE9D" w:rsidR="00EB3984" w:rsidRDefault="00230E34" w:rsidP="00EB3984">
      <w:pPr>
        <w:pStyle w:val="ConsPlusNormal"/>
        <w:jc w:val="center"/>
        <w:outlineLvl w:val="0"/>
        <w:rPr>
          <w:rFonts w:eastAsia="Calibri" w:cstheme="minorBidi"/>
          <w:sz w:val="24"/>
          <w:szCs w:val="24"/>
          <w:lang w:eastAsia="en-US"/>
        </w:rPr>
      </w:pPr>
      <w:r w:rsidRPr="00230E34">
        <w:rPr>
          <w:rFonts w:eastAsia="Calibri" w:cstheme="minorBidi"/>
          <w:sz w:val="24"/>
          <w:szCs w:val="24"/>
          <w:lang w:eastAsia="en-US"/>
        </w:rPr>
        <w:t xml:space="preserve">на поставку </w:t>
      </w:r>
      <w:r w:rsidR="00673AE6" w:rsidRPr="00673AE6">
        <w:rPr>
          <w:rFonts w:eastAsia="Calibri" w:cstheme="minorBidi"/>
          <w:sz w:val="24"/>
          <w:szCs w:val="24"/>
          <w:lang w:eastAsia="en-US"/>
        </w:rPr>
        <w:t>огнетушителей для нужд ИПУ РАН</w:t>
      </w:r>
    </w:p>
    <w:p w14:paraId="46D5805E" w14:textId="77777777" w:rsidR="00230E34" w:rsidRPr="009C659E" w:rsidRDefault="00230E3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287EE5F4" w14:textId="77777777" w:rsidR="007773B8" w:rsidRDefault="00F2072D" w:rsidP="007773B8">
            <w:pPr>
              <w:spacing w:after="0" w:line="240" w:lineRule="auto"/>
              <w:rPr>
                <w:rFonts w:eastAsiaTheme="minorHAnsi" w:cs="Times New Roman"/>
                <w:sz w:val="24"/>
                <w:szCs w:val="24"/>
              </w:rPr>
            </w:pPr>
            <w:r w:rsidRPr="00F2072D">
              <w:rPr>
                <w:rFonts w:eastAsiaTheme="minorHAnsi" w:cs="Times New Roman"/>
                <w:sz w:val="24"/>
                <w:szCs w:val="24"/>
              </w:rPr>
              <w:t>Федеральное государственное бюджетное</w:t>
            </w:r>
          </w:p>
          <w:p w14:paraId="307B02ED" w14:textId="274888E6" w:rsidR="00F2072D" w:rsidRPr="00F2072D" w:rsidRDefault="00F2072D" w:rsidP="007773B8">
            <w:pPr>
              <w:spacing w:after="0" w:line="240" w:lineRule="auto"/>
              <w:rPr>
                <w:rFonts w:eastAsiaTheme="minorHAnsi" w:cs="Times New Roman"/>
                <w:sz w:val="24"/>
                <w:szCs w:val="24"/>
              </w:rPr>
            </w:pPr>
            <w:r w:rsidRPr="00F2072D">
              <w:rPr>
                <w:rFonts w:eastAsiaTheme="minorHAnsi" w:cs="Times New Roman"/>
                <w:sz w:val="24"/>
                <w:szCs w:val="24"/>
              </w:rPr>
              <w:t xml:space="preserve">учреждение науки Институт проблем управления </w:t>
            </w:r>
            <w:r w:rsidR="007773B8">
              <w:rPr>
                <w:rFonts w:eastAsiaTheme="minorHAnsi" w:cs="Times New Roman"/>
                <w:sz w:val="24"/>
                <w:szCs w:val="24"/>
              </w:rPr>
              <w:br/>
            </w:r>
            <w:r w:rsidRPr="00F2072D">
              <w:rPr>
                <w:rFonts w:eastAsiaTheme="minorHAnsi" w:cs="Times New Roman"/>
                <w:sz w:val="24"/>
                <w:szCs w:val="24"/>
              </w:rPr>
              <w:t>им. В.А.</w:t>
            </w:r>
            <w:r w:rsidR="007773B8">
              <w:rPr>
                <w:rFonts w:eastAsiaTheme="minorHAnsi" w:cs="Times New Roman"/>
                <w:sz w:val="24"/>
                <w:szCs w:val="24"/>
              </w:rPr>
              <w:t xml:space="preserve"> </w:t>
            </w:r>
            <w:r w:rsidRPr="00F2072D">
              <w:rPr>
                <w:rFonts w:eastAsiaTheme="minorHAnsi" w:cs="Times New Roman"/>
                <w:sz w:val="24"/>
                <w:szCs w:val="24"/>
              </w:rPr>
              <w:t>Трапезникова Российской академии наук (ИПУ РАН).</w:t>
            </w:r>
          </w:p>
          <w:p w14:paraId="7A2C0ECB" w14:textId="7CEEB6F5"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833238">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04094018" w:rsidR="00C3623F" w:rsidRPr="003507BF" w:rsidRDefault="00673AE6" w:rsidP="001C5781">
            <w:pPr>
              <w:pStyle w:val="ConsPlusNormal"/>
              <w:rPr>
                <w:sz w:val="24"/>
                <w:szCs w:val="24"/>
              </w:rPr>
            </w:pPr>
            <w:r w:rsidRPr="00673AE6">
              <w:rPr>
                <w:sz w:val="24"/>
                <w:szCs w:val="24"/>
              </w:rPr>
              <w:t>26 1 7728013512 772801001 0037 00</w:t>
            </w:r>
            <w:r>
              <w:rPr>
                <w:sz w:val="24"/>
                <w:szCs w:val="24"/>
              </w:rPr>
              <w:t>1</w:t>
            </w:r>
            <w:r w:rsidRPr="00673AE6">
              <w:rPr>
                <w:sz w:val="24"/>
                <w:szCs w:val="24"/>
              </w:rPr>
              <w:t xml:space="preserve"> 2829 244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0D0D1B73" w:rsidR="00D2151A" w:rsidRPr="006D0B5A" w:rsidRDefault="00673AE6" w:rsidP="00DF73AC">
            <w:pPr>
              <w:pStyle w:val="ConsPlusNormal"/>
              <w:jc w:val="both"/>
              <w:rPr>
                <w:rFonts w:eastAsia="Calibri"/>
                <w:sz w:val="24"/>
                <w:szCs w:val="24"/>
              </w:rPr>
            </w:pPr>
            <w:r w:rsidRPr="00673AE6">
              <w:rPr>
                <w:sz w:val="24"/>
                <w:szCs w:val="24"/>
              </w:rPr>
              <w:t>Поставка огнетушителей для нужд ИПУ РАН</w:t>
            </w:r>
          </w:p>
        </w:tc>
      </w:tr>
      <w:tr w:rsidR="00D2151A" w:rsidRPr="00621123" w14:paraId="1DB51884" w14:textId="77777777" w:rsidTr="001C5781">
        <w:trPr>
          <w:trHeight w:val="31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556EF28C" w14:textId="77777777" w:rsidR="00673AE6" w:rsidRDefault="009F1FA2" w:rsidP="00673AE6">
            <w:pPr>
              <w:spacing w:after="0" w:line="240" w:lineRule="auto"/>
              <w:jc w:val="both"/>
              <w:rPr>
                <w:rFonts w:eastAsia="Times New Roman" w:cs="Times New Roman"/>
                <w:bCs/>
                <w:sz w:val="24"/>
                <w:szCs w:val="24"/>
                <w:shd w:val="clear" w:color="auto" w:fill="FFFFFF"/>
                <w:lang w:eastAsia="zh-CN"/>
              </w:rPr>
            </w:pPr>
            <w:r w:rsidRPr="009F1FA2">
              <w:rPr>
                <w:rFonts w:eastAsia="Times New Roman" w:cs="Times New Roman"/>
                <w:bCs/>
                <w:sz w:val="24"/>
                <w:szCs w:val="24"/>
                <w:shd w:val="clear" w:color="auto" w:fill="FFFFFF"/>
                <w:lang w:eastAsia="zh-CN"/>
              </w:rPr>
              <w:t xml:space="preserve">Код ОКПД 2: </w:t>
            </w:r>
            <w:r w:rsidR="00673AE6" w:rsidRPr="00673AE6">
              <w:rPr>
                <w:rFonts w:eastAsia="Times New Roman" w:cs="Times New Roman"/>
                <w:bCs/>
                <w:sz w:val="24"/>
                <w:szCs w:val="24"/>
                <w:shd w:val="clear" w:color="auto" w:fill="FFFFFF"/>
                <w:lang w:eastAsia="zh-CN"/>
              </w:rPr>
              <w:t xml:space="preserve">28.29.22.110 </w:t>
            </w:r>
            <w:r w:rsidR="00673AE6">
              <w:rPr>
                <w:rFonts w:eastAsia="Times New Roman" w:cs="Times New Roman"/>
                <w:bCs/>
                <w:sz w:val="24"/>
                <w:szCs w:val="24"/>
                <w:shd w:val="clear" w:color="auto" w:fill="FFFFFF"/>
                <w:lang w:eastAsia="zh-CN"/>
              </w:rPr>
              <w:t>–</w:t>
            </w:r>
            <w:r w:rsidR="00673AE6" w:rsidRPr="00673AE6">
              <w:rPr>
                <w:rFonts w:eastAsia="Times New Roman" w:cs="Times New Roman"/>
                <w:bCs/>
                <w:sz w:val="24"/>
                <w:szCs w:val="24"/>
                <w:shd w:val="clear" w:color="auto" w:fill="FFFFFF"/>
                <w:lang w:eastAsia="zh-CN"/>
              </w:rPr>
              <w:t xml:space="preserve"> Огнетушители</w:t>
            </w:r>
            <w:r w:rsidR="00673AE6">
              <w:rPr>
                <w:rFonts w:eastAsia="Times New Roman" w:cs="Times New Roman"/>
                <w:bCs/>
                <w:sz w:val="24"/>
                <w:szCs w:val="24"/>
                <w:shd w:val="clear" w:color="auto" w:fill="FFFFFF"/>
                <w:lang w:eastAsia="zh-CN"/>
              </w:rPr>
              <w:t>,</w:t>
            </w:r>
          </w:p>
          <w:p w14:paraId="2B98BDC6" w14:textId="38D16DD2" w:rsidR="009C404D" w:rsidRPr="00673AE6" w:rsidRDefault="00673AE6" w:rsidP="00673AE6">
            <w:pPr>
              <w:spacing w:after="0" w:line="240" w:lineRule="auto"/>
              <w:jc w:val="both"/>
              <w:rPr>
                <w:rFonts w:eastAsia="Times New Roman" w:cs="Times New Roman"/>
                <w:bCs/>
                <w:sz w:val="24"/>
                <w:szCs w:val="24"/>
                <w:shd w:val="clear" w:color="auto" w:fill="FFFFFF"/>
                <w:lang w:eastAsia="zh-CN"/>
              </w:rPr>
            </w:pPr>
            <w:r w:rsidRPr="00673AE6">
              <w:rPr>
                <w:rFonts w:eastAsia="Times New Roman" w:cs="Times New Roman"/>
                <w:bCs/>
                <w:sz w:val="24"/>
                <w:szCs w:val="24"/>
                <w:shd w:val="clear" w:color="auto" w:fill="FFFFFF"/>
                <w:lang w:eastAsia="zh-CN"/>
              </w:rPr>
              <w:t>КТРУ: 28.29.22.110-00000014 - Огнетушитель</w:t>
            </w:r>
            <w:r w:rsidR="00230E34">
              <w:rPr>
                <w:rFonts w:eastAsia="Times New Roman" w:cs="Times New Roman"/>
                <w:bCs/>
                <w:sz w:val="24"/>
                <w:szCs w:val="24"/>
                <w:shd w:val="clear" w:color="auto" w:fill="FFFFFF"/>
                <w:lang w:eastAsia="zh-CN"/>
              </w:rPr>
              <w:t>.</w:t>
            </w:r>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w:t>
            </w:r>
            <w:r w:rsidRPr="00621123">
              <w:rPr>
                <w:sz w:val="24"/>
                <w:szCs w:val="24"/>
              </w:rPr>
              <w:lastRenderedPageBreak/>
              <w:t>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78F9FE71" w14:textId="11966FD3" w:rsidR="009F1FA2" w:rsidRPr="009F1FA2" w:rsidRDefault="009F1FA2" w:rsidP="009F1FA2">
            <w:pPr>
              <w:pStyle w:val="ConsPlusNormal"/>
              <w:rPr>
                <w:bCs/>
                <w:sz w:val="24"/>
                <w:szCs w:val="24"/>
              </w:rPr>
            </w:pPr>
            <w:r w:rsidRPr="009F1FA2">
              <w:rPr>
                <w:bCs/>
                <w:sz w:val="24"/>
                <w:szCs w:val="24"/>
              </w:rPr>
              <w:t>1</w:t>
            </w:r>
            <w:r>
              <w:rPr>
                <w:bCs/>
                <w:sz w:val="24"/>
                <w:szCs w:val="24"/>
              </w:rPr>
              <w:t xml:space="preserve">. </w:t>
            </w:r>
            <w:r w:rsidR="00673AE6" w:rsidRPr="00673AE6">
              <w:rPr>
                <w:bCs/>
                <w:sz w:val="24"/>
                <w:szCs w:val="24"/>
              </w:rPr>
              <w:t xml:space="preserve">Огнетушитель </w:t>
            </w:r>
            <w:r>
              <w:rPr>
                <w:bCs/>
                <w:sz w:val="24"/>
                <w:szCs w:val="24"/>
              </w:rPr>
              <w:t xml:space="preserve">- </w:t>
            </w:r>
            <w:r w:rsidR="00673AE6">
              <w:rPr>
                <w:bCs/>
                <w:sz w:val="24"/>
                <w:szCs w:val="24"/>
              </w:rPr>
              <w:t>30</w:t>
            </w:r>
            <w:r>
              <w:rPr>
                <w:bCs/>
                <w:sz w:val="24"/>
                <w:szCs w:val="24"/>
              </w:rPr>
              <w:t xml:space="preserve"> шт.;</w:t>
            </w:r>
          </w:p>
          <w:p w14:paraId="29A33076" w14:textId="257CEA22" w:rsidR="009F1FA2" w:rsidRPr="009F1FA2" w:rsidRDefault="009F1FA2" w:rsidP="009F1FA2">
            <w:pPr>
              <w:pStyle w:val="ConsPlusNormal"/>
              <w:rPr>
                <w:bCs/>
                <w:sz w:val="24"/>
                <w:szCs w:val="24"/>
              </w:rPr>
            </w:pPr>
            <w:r w:rsidRPr="009F1FA2">
              <w:rPr>
                <w:bCs/>
                <w:sz w:val="24"/>
                <w:szCs w:val="24"/>
              </w:rPr>
              <w:t>2</w:t>
            </w:r>
            <w:r>
              <w:rPr>
                <w:bCs/>
                <w:sz w:val="24"/>
                <w:szCs w:val="24"/>
              </w:rPr>
              <w:t xml:space="preserve">. </w:t>
            </w:r>
            <w:r w:rsidR="00673AE6" w:rsidRPr="00673AE6">
              <w:rPr>
                <w:bCs/>
                <w:sz w:val="24"/>
                <w:szCs w:val="24"/>
              </w:rPr>
              <w:t xml:space="preserve">Огнетушитель </w:t>
            </w:r>
            <w:r>
              <w:rPr>
                <w:bCs/>
                <w:sz w:val="24"/>
                <w:szCs w:val="24"/>
              </w:rPr>
              <w:t xml:space="preserve">- </w:t>
            </w:r>
            <w:r w:rsidR="00673AE6">
              <w:rPr>
                <w:bCs/>
                <w:sz w:val="24"/>
                <w:szCs w:val="24"/>
              </w:rPr>
              <w:t>30</w:t>
            </w:r>
            <w:r>
              <w:rPr>
                <w:bCs/>
                <w:sz w:val="24"/>
                <w:szCs w:val="24"/>
              </w:rPr>
              <w:t xml:space="preserve"> шт.</w:t>
            </w:r>
          </w:p>
          <w:p w14:paraId="417B5FD8" w14:textId="32D80D24" w:rsidR="00FB2F99" w:rsidRPr="00621123" w:rsidRDefault="009C659E" w:rsidP="00673AE6">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стр.</w:t>
            </w:r>
            <w:r w:rsidR="00833238">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F2072D">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6000D0AD" w14:textId="56F21B3B" w:rsidR="00CC7B55" w:rsidRPr="00A83B7F"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r w:rsidR="00673AE6" w:rsidRPr="00673AE6">
              <w:rPr>
                <w:sz w:val="24"/>
                <w:szCs w:val="24"/>
              </w:rPr>
              <w:t>до истечения 14 (четырнадцати) календарных дней</w:t>
            </w:r>
            <w:r w:rsidR="009F1FA2" w:rsidRPr="009F1FA2">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57EA8857"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9F1FA2">
              <w:rPr>
                <w:b/>
                <w:sz w:val="24"/>
                <w:szCs w:val="24"/>
              </w:rPr>
              <w:t>30</w:t>
            </w:r>
            <w:r w:rsidR="002C2359" w:rsidRPr="008A273B">
              <w:rPr>
                <w:b/>
                <w:sz w:val="24"/>
                <w:szCs w:val="24"/>
              </w:rPr>
              <w:t>»</w:t>
            </w:r>
            <w:r w:rsidR="009370FB" w:rsidRPr="008A273B">
              <w:rPr>
                <w:b/>
                <w:sz w:val="24"/>
                <w:szCs w:val="24"/>
              </w:rPr>
              <w:t xml:space="preserve"> </w:t>
            </w:r>
            <w:r w:rsidR="009F1FA2">
              <w:rPr>
                <w:b/>
                <w:sz w:val="24"/>
                <w:szCs w:val="24"/>
              </w:rPr>
              <w:t>сентября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812" w:type="dxa"/>
          </w:tcPr>
          <w:p w14:paraId="639B889D" w14:textId="14FBB18E" w:rsidR="00D95EA9" w:rsidRPr="00673AE6" w:rsidRDefault="00673AE6" w:rsidP="00EB3984">
            <w:pPr>
              <w:pStyle w:val="ConsPlusNormal"/>
              <w:jc w:val="both"/>
              <w:rPr>
                <w:sz w:val="24"/>
                <w:szCs w:val="24"/>
              </w:rPr>
            </w:pPr>
            <w:r w:rsidRPr="002813B0">
              <w:rPr>
                <w:b/>
                <w:sz w:val="24"/>
                <w:szCs w:val="24"/>
              </w:rPr>
              <w:t>87 435 (Восемьдесят семь тысяч четыреста тридцать пять) рублей 60 копеек</w:t>
            </w:r>
            <w:r w:rsidRPr="00673AE6">
              <w:rPr>
                <w:sz w:val="24"/>
                <w:szCs w:val="24"/>
              </w:rPr>
              <w:t xml:space="preserve">, в том числе НДС 22% - </w:t>
            </w:r>
            <w:r w:rsidR="002813B0">
              <w:rPr>
                <w:sz w:val="24"/>
                <w:szCs w:val="24"/>
              </w:rPr>
              <w:br/>
            </w:r>
            <w:r w:rsidRPr="00673AE6">
              <w:rPr>
                <w:sz w:val="24"/>
                <w:szCs w:val="24"/>
              </w:rPr>
              <w:t>15 767,08 рублей.</w:t>
            </w:r>
          </w:p>
          <w:p w14:paraId="60D4D35D" w14:textId="77777777" w:rsidR="00D95EA9" w:rsidRDefault="00D95EA9" w:rsidP="00EB3984">
            <w:pPr>
              <w:pStyle w:val="ConsPlusNormal"/>
              <w:jc w:val="both"/>
              <w:rPr>
                <w:sz w:val="24"/>
                <w:szCs w:val="24"/>
              </w:rPr>
            </w:pPr>
          </w:p>
          <w:p w14:paraId="5FBD78F1" w14:textId="437DD6D1" w:rsidR="002E22FF" w:rsidRPr="00A83B7F" w:rsidRDefault="000918F5" w:rsidP="004764B8">
            <w:pPr>
              <w:pStyle w:val="ConsPlusNormal"/>
              <w:jc w:val="both"/>
              <w:rPr>
                <w:sz w:val="24"/>
                <w:szCs w:val="24"/>
              </w:rPr>
            </w:pPr>
            <w:bookmarkStart w:id="0" w:name="_Hlk228788976"/>
            <w:r w:rsidRPr="000918F5">
              <w:rPr>
                <w:bCs/>
                <w:sz w:val="24"/>
                <w:szCs w:val="24"/>
              </w:rPr>
              <w:t xml:space="preserve">Начальная (максимальная) цена контракта включает </w:t>
            </w:r>
            <w:r>
              <w:rPr>
                <w:bCs/>
                <w:sz w:val="24"/>
                <w:szCs w:val="24"/>
              </w:rPr>
              <w:br/>
            </w:r>
            <w:r w:rsidR="002813B0" w:rsidRPr="002813B0">
              <w:rPr>
                <w:bCs/>
                <w:sz w:val="24"/>
                <w:szCs w:val="24"/>
              </w:rPr>
              <w:t>в себя стоимость Товара</w:t>
            </w:r>
            <w:r w:rsidR="002813B0">
              <w:rPr>
                <w:bCs/>
                <w:sz w:val="24"/>
                <w:szCs w:val="24"/>
              </w:rPr>
              <w:t xml:space="preserve">, </w:t>
            </w:r>
            <w:r w:rsidRPr="000918F5">
              <w:rPr>
                <w:bCs/>
                <w:sz w:val="24"/>
                <w:szCs w:val="24"/>
              </w:rPr>
              <w:t xml:space="preserve">расходы на доставку, погрузо-разгрузочные работы, подъем на этаж, гарантийные обязательства, страхование, уплату таможенных пошлин, налогов и других обязательных платежей, </w:t>
            </w:r>
            <w:r w:rsidR="002813B0">
              <w:rPr>
                <w:bCs/>
                <w:sz w:val="24"/>
                <w:szCs w:val="24"/>
              </w:rPr>
              <w:br/>
            </w:r>
            <w:r w:rsidRPr="000918F5">
              <w:rPr>
                <w:bCs/>
                <w:sz w:val="24"/>
                <w:szCs w:val="24"/>
              </w:rPr>
              <w:t>в том числе сопутствующие связанные</w:t>
            </w:r>
            <w:r>
              <w:rPr>
                <w:bCs/>
                <w:sz w:val="24"/>
                <w:szCs w:val="24"/>
              </w:rPr>
              <w:t xml:space="preserve"> </w:t>
            </w:r>
            <w:r w:rsidRPr="000918F5">
              <w:rPr>
                <w:bCs/>
                <w:sz w:val="24"/>
                <w:szCs w:val="24"/>
              </w:rPr>
              <w:t>с</w:t>
            </w:r>
            <w:r>
              <w:rPr>
                <w:bCs/>
                <w:sz w:val="24"/>
                <w:szCs w:val="24"/>
              </w:rPr>
              <w:t xml:space="preserve"> </w:t>
            </w:r>
            <w:r w:rsidRPr="000918F5">
              <w:rPr>
                <w:bCs/>
                <w:sz w:val="24"/>
                <w:szCs w:val="24"/>
              </w:rPr>
              <w:t>исполнением Контракта</w:t>
            </w:r>
            <w:r w:rsidR="00054E2C">
              <w:rPr>
                <w:bCs/>
                <w:sz w:val="24"/>
                <w:szCs w:val="24"/>
              </w:rPr>
              <w:t>.</w:t>
            </w:r>
            <w:bookmarkEnd w:id="0"/>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2E4764A5"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w:t>
            </w:r>
            <w:r w:rsidR="00673AE6">
              <w:rPr>
                <w:sz w:val="24"/>
                <w:szCs w:val="24"/>
              </w:rPr>
              <w:br/>
            </w:r>
            <w:r w:rsidRPr="0069435C">
              <w:rPr>
                <w:sz w:val="24"/>
                <w:szCs w:val="24"/>
              </w:rPr>
              <w:t xml:space="preserve">о которых содержится в заявке на участие в закупке </w:t>
            </w:r>
            <w:r w:rsidR="00673AE6">
              <w:rPr>
                <w:sz w:val="24"/>
                <w:szCs w:val="24"/>
              </w:rPr>
              <w:br/>
            </w:r>
            <w:r w:rsidRPr="0069435C">
              <w:rPr>
                <w:sz w:val="24"/>
                <w:szCs w:val="24"/>
              </w:rPr>
              <w:t xml:space="preserve">в соответствии 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w:t>
              </w:r>
              <w:r w:rsidR="00673AE6">
                <w:rPr>
                  <w:rStyle w:val="a3"/>
                  <w:color w:val="auto"/>
                  <w:sz w:val="24"/>
                  <w:szCs w:val="24"/>
                  <w:u w:val="none"/>
                </w:rPr>
                <w:t xml:space="preserve"> </w:t>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w:t>
            </w:r>
            <w:r w:rsidR="009F1FA2">
              <w:rPr>
                <w:sz w:val="24"/>
                <w:szCs w:val="24"/>
              </w:rPr>
              <w:t xml:space="preserve"> </w:t>
            </w:r>
            <w:r w:rsidRPr="0069435C">
              <w:rPr>
                <w:sz w:val="24"/>
                <w:szCs w:val="24"/>
              </w:rPr>
              <w:t xml:space="preserve">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68136410" w14:textId="7BC2B87E" w:rsidR="00F5631B" w:rsidRPr="00DC212F" w:rsidRDefault="00C3623F"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833238">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w:t>
            </w:r>
            <w:r w:rsidR="00833238">
              <w:rPr>
                <w:bCs/>
                <w:iCs/>
                <w:sz w:val="24"/>
                <w:szCs w:val="24"/>
              </w:rPr>
              <w:br/>
            </w:r>
            <w:r w:rsidRPr="00C3623F">
              <w:rPr>
                <w:bCs/>
                <w:iCs/>
                <w:sz w:val="24"/>
                <w:szCs w:val="24"/>
              </w:rPr>
              <w:t>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23A67A92" w14:textId="77777777" w:rsidR="00673AE6" w:rsidRPr="008666BC" w:rsidRDefault="00673AE6" w:rsidP="00673AE6">
            <w:pPr>
              <w:pStyle w:val="ConsPlusNormal"/>
              <w:rPr>
                <w:sz w:val="24"/>
                <w:szCs w:val="24"/>
              </w:rPr>
            </w:pPr>
            <w:r>
              <w:rPr>
                <w:sz w:val="24"/>
                <w:szCs w:val="24"/>
              </w:rPr>
              <w:t>Н</w:t>
            </w:r>
            <w:r w:rsidRPr="008666BC">
              <w:rPr>
                <w:sz w:val="24"/>
                <w:szCs w:val="24"/>
              </w:rPr>
              <w:t>е требуется</w:t>
            </w:r>
          </w:p>
          <w:p w14:paraId="0B0C9F89" w14:textId="10518D4D" w:rsidR="00D2151A" w:rsidRPr="00621123" w:rsidRDefault="00D2151A" w:rsidP="00D81AE6">
            <w:pPr>
              <w:pStyle w:val="ConsPlusNormal"/>
              <w:jc w:val="both"/>
              <w:rPr>
                <w:sz w:val="24"/>
                <w:szCs w:val="24"/>
              </w:rPr>
            </w:pP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2EA3D572" w:rsidR="005C57BA" w:rsidRDefault="005C57BA" w:rsidP="00EB3984">
            <w:pPr>
              <w:pStyle w:val="ConsPlusNormal"/>
              <w:jc w:val="both"/>
              <w:rPr>
                <w:sz w:val="24"/>
                <w:szCs w:val="24"/>
              </w:rPr>
            </w:pPr>
            <w:r w:rsidRPr="00547DBE">
              <w:rPr>
                <w:sz w:val="24"/>
                <w:szCs w:val="24"/>
              </w:rPr>
              <w:t xml:space="preserve">Обеспечение исполнения контракта предусмотрено </w:t>
            </w:r>
            <w:r w:rsidR="00054E2C">
              <w:rPr>
                <w:sz w:val="24"/>
                <w:szCs w:val="24"/>
              </w:rPr>
              <w:br/>
            </w:r>
            <w:r w:rsidRPr="00547DBE">
              <w:rPr>
                <w:sz w:val="24"/>
                <w:szCs w:val="24"/>
              </w:rPr>
              <w:t>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w:t>
            </w:r>
            <w:r w:rsidR="00054E2C">
              <w:rPr>
                <w:sz w:val="24"/>
                <w:szCs w:val="24"/>
              </w:rPr>
              <w:br/>
            </w:r>
            <w:r w:rsidRPr="00547DBE">
              <w:rPr>
                <w:sz w:val="24"/>
                <w:szCs w:val="24"/>
              </w:rPr>
              <w:t>НДС не облагается.</w:t>
            </w:r>
          </w:p>
          <w:p w14:paraId="418CFE1A" w14:textId="77777777" w:rsidR="005C57BA" w:rsidRPr="00D067D3" w:rsidRDefault="005C57BA" w:rsidP="00EB3984">
            <w:pPr>
              <w:pStyle w:val="ConsPlusNormal"/>
              <w:jc w:val="both"/>
              <w:rPr>
                <w:sz w:val="16"/>
                <w:szCs w:val="16"/>
              </w:rPr>
            </w:pPr>
          </w:p>
          <w:p w14:paraId="58FCF3D3" w14:textId="4DA4FD15" w:rsidR="005C57BA" w:rsidRPr="00AE746D" w:rsidRDefault="005C57BA" w:rsidP="00EB3984">
            <w:pPr>
              <w:pStyle w:val="ConsPlusNormal"/>
              <w:jc w:val="both"/>
              <w:rPr>
                <w:sz w:val="24"/>
                <w:szCs w:val="24"/>
              </w:rPr>
            </w:pPr>
            <w:r w:rsidRPr="00AE746D">
              <w:rPr>
                <w:sz w:val="24"/>
                <w:szCs w:val="24"/>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w:t>
            </w:r>
            <w:r w:rsidR="00833238">
              <w:rPr>
                <w:sz w:val="24"/>
                <w:szCs w:val="24"/>
              </w:rPr>
              <w:t xml:space="preserve"> </w:t>
            </w:r>
            <w:r w:rsidRPr="00AE746D">
              <w:rPr>
                <w:sz w:val="24"/>
                <w:szCs w:val="24"/>
              </w:rPr>
              <w:t xml:space="preserve">учитываются операции со средствами, поступающими заказчику. </w:t>
            </w:r>
          </w:p>
          <w:p w14:paraId="7B22D152" w14:textId="01D10679"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005B6882">
              <w:rPr>
                <w:sz w:val="24"/>
                <w:szCs w:val="24"/>
              </w:rPr>
              <w:t xml:space="preserve"> </w:t>
            </w:r>
            <w:r w:rsidR="008A4F5B">
              <w:rPr>
                <w:sz w:val="24"/>
                <w:szCs w:val="24"/>
              </w:rPr>
              <w:t xml:space="preserve">              </w:t>
            </w:r>
            <w:r w:rsidRPr="00AE746D">
              <w:rPr>
                <w:sz w:val="24"/>
                <w:szCs w:val="24"/>
              </w:rPr>
              <w:t xml:space="preserve">в том числе в случае его изменения в соответствии </w:t>
            </w:r>
            <w:r w:rsidR="00833238">
              <w:rPr>
                <w:sz w:val="24"/>
                <w:szCs w:val="24"/>
              </w:rPr>
              <w:br/>
            </w:r>
            <w:r w:rsidRPr="00AE746D">
              <w:rPr>
                <w:sz w:val="24"/>
                <w:szCs w:val="24"/>
              </w:rPr>
              <w:t>со статьей 95 Федерального закона № 44-ФЗ.</w:t>
            </w:r>
          </w:p>
          <w:p w14:paraId="05F55EC9" w14:textId="4ECFCAB7"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9F1FA2">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9F1FA2">
              <w:rPr>
                <w:i/>
                <w:sz w:val="24"/>
                <w:szCs w:val="24"/>
              </w:rPr>
              <w:br/>
            </w:r>
            <w:r w:rsidRPr="00AE746D">
              <w:rPr>
                <w:i/>
                <w:sz w:val="24"/>
                <w:szCs w:val="24"/>
              </w:rPr>
              <w:t xml:space="preserve">на </w:t>
            </w:r>
            <w:r w:rsidR="00230E34" w:rsidRPr="00230E34">
              <w:rPr>
                <w:i/>
                <w:sz w:val="24"/>
                <w:szCs w:val="24"/>
              </w:rPr>
              <w:t xml:space="preserve">поставку </w:t>
            </w:r>
            <w:r w:rsidR="00673AE6" w:rsidRPr="00673AE6">
              <w:rPr>
                <w:i/>
                <w:sz w:val="24"/>
                <w:szCs w:val="24"/>
              </w:rPr>
              <w:t>огнетушителей</w:t>
            </w:r>
            <w:r w:rsidR="00230E34" w:rsidRPr="00230E34">
              <w:rPr>
                <w:i/>
                <w:sz w:val="24"/>
                <w:szCs w:val="24"/>
              </w:rPr>
              <w:t xml:space="preserve"> для нужд ИПУ РАН</w:t>
            </w: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163A1FBC" w14:textId="77777777" w:rsidR="008404A1" w:rsidRDefault="005C57BA" w:rsidP="00EB3984">
            <w:pPr>
              <w:pStyle w:val="ConsPlusNormal"/>
              <w:jc w:val="both"/>
              <w:rPr>
                <w:sz w:val="24"/>
                <w:szCs w:val="24"/>
              </w:rPr>
            </w:pPr>
            <w:r w:rsidRPr="00AE746D">
              <w:rPr>
                <w:sz w:val="24"/>
                <w:szCs w:val="24"/>
              </w:rPr>
              <w:t>Наименование заказчика:</w:t>
            </w:r>
          </w:p>
          <w:p w14:paraId="595014B5" w14:textId="071BBDAF" w:rsidR="005C57BA" w:rsidRPr="00AE746D" w:rsidRDefault="005C57BA" w:rsidP="00EB3984">
            <w:pPr>
              <w:pStyle w:val="ConsPlusNormal"/>
              <w:jc w:val="both"/>
              <w:rPr>
                <w:sz w:val="24"/>
                <w:szCs w:val="24"/>
              </w:rPr>
            </w:pPr>
            <w:r w:rsidRPr="00AE746D">
              <w:rPr>
                <w:sz w:val="24"/>
                <w:szCs w:val="24"/>
              </w:rPr>
              <w:t xml:space="preserve">Федеральное государственное бюджетное учреждение науки Институт проблем управления </w:t>
            </w:r>
            <w:r w:rsidR="008404A1">
              <w:rPr>
                <w:sz w:val="24"/>
                <w:szCs w:val="24"/>
              </w:rPr>
              <w:br/>
            </w:r>
            <w:r w:rsidRPr="00AE746D">
              <w:rPr>
                <w:sz w:val="24"/>
                <w:szCs w:val="24"/>
              </w:rPr>
              <w:t>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2885D23A" w:rsidR="008A4F5B" w:rsidRDefault="008A4F5B" w:rsidP="008A4F5B">
            <w:pPr>
              <w:pStyle w:val="ConsPlusNormal"/>
              <w:jc w:val="both"/>
              <w:rPr>
                <w:sz w:val="24"/>
                <w:szCs w:val="24"/>
              </w:rPr>
            </w:pPr>
            <w:r w:rsidRPr="003A610C">
              <w:rPr>
                <w:sz w:val="24"/>
                <w:szCs w:val="24"/>
              </w:rPr>
              <w:t xml:space="preserve">ОКЦ № 1 ГУ БАНКА РОССИИ ПО ЦФО//УФК </w:t>
            </w:r>
            <w:r w:rsidR="009F1FA2">
              <w:rPr>
                <w:sz w:val="24"/>
                <w:szCs w:val="24"/>
              </w:rPr>
              <w:br/>
            </w:r>
            <w:r w:rsidRPr="003A610C">
              <w:rPr>
                <w:sz w:val="24"/>
                <w:szCs w:val="24"/>
              </w:rPr>
              <w:t xml:space="preserve">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60967152" w:rsidR="00F04309" w:rsidRPr="00F357BA" w:rsidRDefault="00673AE6" w:rsidP="009F1FA2">
            <w:pPr>
              <w:pStyle w:val="ConsPlusNormal"/>
              <w:jc w:val="both"/>
              <w:rPr>
                <w:b/>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не предусмотрено</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20AD845F" w:rsidR="00D2151A" w:rsidRPr="003507BF" w:rsidRDefault="00AD26CA" w:rsidP="00977061">
            <w:pPr>
              <w:pStyle w:val="ConsPlusNormal"/>
              <w:rPr>
                <w:sz w:val="24"/>
                <w:szCs w:val="24"/>
              </w:rPr>
            </w:pPr>
            <w:r w:rsidRPr="003507BF">
              <w:rPr>
                <w:b/>
                <w:sz w:val="24"/>
                <w:szCs w:val="24"/>
              </w:rPr>
              <w:t>«</w:t>
            </w:r>
            <w:r w:rsidR="00977061">
              <w:rPr>
                <w:b/>
                <w:sz w:val="24"/>
                <w:szCs w:val="24"/>
              </w:rPr>
              <w:t>08</w:t>
            </w:r>
            <w:r w:rsidR="00E43F73" w:rsidRPr="003507BF">
              <w:rPr>
                <w:b/>
                <w:sz w:val="24"/>
                <w:szCs w:val="24"/>
              </w:rPr>
              <w:t xml:space="preserve">» </w:t>
            </w:r>
            <w:r w:rsidR="00977061">
              <w:rPr>
                <w:b/>
                <w:sz w:val="24"/>
                <w:szCs w:val="24"/>
              </w:rPr>
              <w:t>июня</w:t>
            </w:r>
            <w:r w:rsidR="00364581">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6C34115E" w:rsidR="00437235" w:rsidRPr="003507BF" w:rsidRDefault="00915C96" w:rsidP="00EB3984">
            <w:pPr>
              <w:pStyle w:val="ConsPlusNormal"/>
              <w:rPr>
                <w:b/>
                <w:sz w:val="24"/>
                <w:szCs w:val="24"/>
              </w:rPr>
            </w:pPr>
            <w:r>
              <w:rPr>
                <w:b/>
                <w:sz w:val="24"/>
                <w:szCs w:val="24"/>
              </w:rPr>
              <w:t>«</w:t>
            </w:r>
            <w:r w:rsidR="00977061">
              <w:rPr>
                <w:b/>
                <w:sz w:val="24"/>
                <w:szCs w:val="24"/>
              </w:rPr>
              <w:t>08</w:t>
            </w:r>
            <w:r w:rsidR="000638ED" w:rsidRPr="003507BF">
              <w:rPr>
                <w:b/>
                <w:sz w:val="24"/>
                <w:szCs w:val="24"/>
              </w:rPr>
              <w:t>»</w:t>
            </w:r>
            <w:r w:rsidR="00E43F73" w:rsidRPr="003507BF">
              <w:rPr>
                <w:b/>
                <w:sz w:val="24"/>
                <w:szCs w:val="24"/>
              </w:rPr>
              <w:t xml:space="preserve"> </w:t>
            </w:r>
            <w:r w:rsidR="00977061">
              <w:rPr>
                <w:b/>
                <w:sz w:val="24"/>
                <w:szCs w:val="24"/>
              </w:rPr>
              <w:t>июня</w:t>
            </w:r>
            <w:r w:rsidR="00EE0CD3">
              <w:rPr>
                <w:b/>
                <w:sz w:val="24"/>
                <w:szCs w:val="24"/>
              </w:rPr>
              <w:t xml:space="preserve">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4D41E9">
        <w:trPr>
          <w:trHeight w:val="587"/>
        </w:trPr>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1B2B90B2" w:rsidR="00437235" w:rsidRPr="003507BF" w:rsidRDefault="00AD26CA" w:rsidP="00EB3984">
            <w:pPr>
              <w:pStyle w:val="ConsPlusNormal"/>
              <w:rPr>
                <w:b/>
                <w:sz w:val="24"/>
                <w:szCs w:val="24"/>
              </w:rPr>
            </w:pPr>
            <w:r w:rsidRPr="003507BF">
              <w:rPr>
                <w:b/>
                <w:sz w:val="24"/>
                <w:szCs w:val="24"/>
              </w:rPr>
              <w:t>«</w:t>
            </w:r>
            <w:r w:rsidR="00977061">
              <w:rPr>
                <w:b/>
                <w:sz w:val="24"/>
                <w:szCs w:val="24"/>
              </w:rPr>
              <w:t>10</w:t>
            </w:r>
            <w:r w:rsidR="00437235" w:rsidRPr="003507BF">
              <w:rPr>
                <w:b/>
                <w:sz w:val="24"/>
                <w:szCs w:val="24"/>
              </w:rPr>
              <w:t>»</w:t>
            </w:r>
            <w:r w:rsidR="00915C96">
              <w:rPr>
                <w:b/>
                <w:sz w:val="24"/>
                <w:szCs w:val="24"/>
              </w:rPr>
              <w:t xml:space="preserve"> </w:t>
            </w:r>
            <w:r w:rsidR="00977061">
              <w:rPr>
                <w:b/>
                <w:sz w:val="24"/>
                <w:szCs w:val="24"/>
              </w:rPr>
              <w:t>июня</w:t>
            </w:r>
            <w:bookmarkStart w:id="1" w:name="_GoBack"/>
            <w:bookmarkEnd w:id="1"/>
            <w:r w:rsidR="00915C96">
              <w:rPr>
                <w:b/>
                <w:sz w:val="24"/>
                <w:szCs w:val="24"/>
              </w:rPr>
              <w:t xml:space="preserve">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28BB1DCD" w:rsidR="00F61455" w:rsidRDefault="00F61455" w:rsidP="00EB3984">
      <w:pPr>
        <w:spacing w:after="0" w:line="240" w:lineRule="auto"/>
        <w:jc w:val="both"/>
        <w:rPr>
          <w:sz w:val="24"/>
          <w:szCs w:val="24"/>
        </w:rPr>
      </w:pPr>
    </w:p>
    <w:p w14:paraId="2D731611" w14:textId="332266CA" w:rsidR="00EE0CD3" w:rsidRDefault="00EE0CD3" w:rsidP="00EB3984">
      <w:pPr>
        <w:spacing w:after="0" w:line="240" w:lineRule="auto"/>
        <w:jc w:val="both"/>
        <w:rPr>
          <w:sz w:val="24"/>
          <w:szCs w:val="24"/>
        </w:rPr>
      </w:pPr>
    </w:p>
    <w:p w14:paraId="49CE1A57" w14:textId="77777777" w:rsidR="00EE0CD3" w:rsidRDefault="00EE0C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Default="008D25F1" w:rsidP="00EB3984">
      <w:pPr>
        <w:spacing w:after="0" w:line="240" w:lineRule="auto"/>
        <w:jc w:val="both"/>
        <w:rPr>
          <w:sz w:val="20"/>
          <w:szCs w:val="20"/>
        </w:rPr>
      </w:pPr>
    </w:p>
    <w:p w14:paraId="594518FA" w14:textId="77777777" w:rsidR="004D41E9" w:rsidRDefault="004D41E9" w:rsidP="00EB3984">
      <w:pPr>
        <w:spacing w:after="0" w:line="240" w:lineRule="auto"/>
        <w:jc w:val="both"/>
        <w:rPr>
          <w:sz w:val="20"/>
          <w:szCs w:val="20"/>
        </w:rPr>
      </w:pPr>
    </w:p>
    <w:p w14:paraId="34A386B0" w14:textId="18FCC605" w:rsidR="00230E34" w:rsidRDefault="00230E34" w:rsidP="00EB3984">
      <w:pPr>
        <w:spacing w:after="0" w:line="240" w:lineRule="auto"/>
        <w:jc w:val="both"/>
        <w:rPr>
          <w:sz w:val="20"/>
          <w:szCs w:val="20"/>
        </w:rPr>
      </w:pPr>
    </w:p>
    <w:p w14:paraId="344562A4" w14:textId="64E60997" w:rsidR="001020DA" w:rsidRDefault="001020DA" w:rsidP="00EB3984">
      <w:pPr>
        <w:spacing w:after="0" w:line="240" w:lineRule="auto"/>
        <w:jc w:val="both"/>
        <w:rPr>
          <w:sz w:val="20"/>
          <w:szCs w:val="20"/>
        </w:rPr>
      </w:pPr>
    </w:p>
    <w:p w14:paraId="680AC1CA" w14:textId="7FB95DB6" w:rsidR="001020DA" w:rsidRDefault="001020DA" w:rsidP="00EB3984">
      <w:pPr>
        <w:spacing w:after="0" w:line="240" w:lineRule="auto"/>
        <w:jc w:val="both"/>
        <w:rPr>
          <w:sz w:val="20"/>
          <w:szCs w:val="20"/>
        </w:rPr>
      </w:pPr>
    </w:p>
    <w:p w14:paraId="054D0E93" w14:textId="7834CFD3" w:rsidR="001020DA" w:rsidRDefault="001020DA" w:rsidP="00EB3984">
      <w:pPr>
        <w:spacing w:after="0" w:line="240" w:lineRule="auto"/>
        <w:jc w:val="both"/>
        <w:rPr>
          <w:sz w:val="20"/>
          <w:szCs w:val="20"/>
        </w:rPr>
      </w:pPr>
    </w:p>
    <w:p w14:paraId="1D15DB39" w14:textId="6A87E010" w:rsidR="001020DA" w:rsidRDefault="001020DA" w:rsidP="00EB3984">
      <w:pPr>
        <w:spacing w:after="0" w:line="240" w:lineRule="auto"/>
        <w:jc w:val="both"/>
        <w:rPr>
          <w:sz w:val="20"/>
          <w:szCs w:val="20"/>
        </w:rPr>
      </w:pPr>
    </w:p>
    <w:p w14:paraId="79ABB527" w14:textId="77777777" w:rsidR="001020DA" w:rsidRDefault="001020DA" w:rsidP="00EB3984">
      <w:pPr>
        <w:spacing w:after="0" w:line="240" w:lineRule="auto"/>
        <w:jc w:val="both"/>
        <w:rPr>
          <w:sz w:val="20"/>
          <w:szCs w:val="20"/>
        </w:rPr>
      </w:pPr>
    </w:p>
    <w:p w14:paraId="13F8FE70" w14:textId="77777777" w:rsidR="00EE0CD3" w:rsidRDefault="00EE0CD3" w:rsidP="00EB3984">
      <w:pPr>
        <w:spacing w:after="0" w:line="240" w:lineRule="auto"/>
        <w:jc w:val="both"/>
        <w:rPr>
          <w:sz w:val="20"/>
          <w:szCs w:val="20"/>
        </w:rPr>
      </w:pPr>
    </w:p>
    <w:p w14:paraId="2C25B68C" w14:textId="1234F072"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673AE6">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977061">
          <w:rPr>
            <w:rFonts w:ascii="Arial" w:hAnsi="Arial" w:cs="Arial"/>
            <w:noProof/>
            <w:sz w:val="20"/>
            <w:szCs w:val="20"/>
          </w:rPr>
          <w:t>6</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54E2C"/>
    <w:rsid w:val="00061730"/>
    <w:rsid w:val="000638ED"/>
    <w:rsid w:val="000918F5"/>
    <w:rsid w:val="000954C3"/>
    <w:rsid w:val="000A6DAD"/>
    <w:rsid w:val="000B0541"/>
    <w:rsid w:val="000D7EA3"/>
    <w:rsid w:val="000E39DF"/>
    <w:rsid w:val="000F6077"/>
    <w:rsid w:val="0010152C"/>
    <w:rsid w:val="001020DA"/>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5781"/>
    <w:rsid w:val="001C6FEE"/>
    <w:rsid w:val="001E3CCA"/>
    <w:rsid w:val="002003F1"/>
    <w:rsid w:val="002136DD"/>
    <w:rsid w:val="00230E34"/>
    <w:rsid w:val="00234B41"/>
    <w:rsid w:val="00235941"/>
    <w:rsid w:val="00251A5C"/>
    <w:rsid w:val="00263327"/>
    <w:rsid w:val="002813B0"/>
    <w:rsid w:val="002845A8"/>
    <w:rsid w:val="002927FC"/>
    <w:rsid w:val="00293899"/>
    <w:rsid w:val="002A4A3C"/>
    <w:rsid w:val="002A6C36"/>
    <w:rsid w:val="002C2359"/>
    <w:rsid w:val="002C2419"/>
    <w:rsid w:val="002C444A"/>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3E9C"/>
    <w:rsid w:val="003B4304"/>
    <w:rsid w:val="003B60C1"/>
    <w:rsid w:val="003C3262"/>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D41E9"/>
    <w:rsid w:val="004E161A"/>
    <w:rsid w:val="00503DA5"/>
    <w:rsid w:val="00507EB1"/>
    <w:rsid w:val="005140B8"/>
    <w:rsid w:val="00523EE3"/>
    <w:rsid w:val="00531523"/>
    <w:rsid w:val="005333E6"/>
    <w:rsid w:val="00544187"/>
    <w:rsid w:val="005443F3"/>
    <w:rsid w:val="00545C11"/>
    <w:rsid w:val="0055743F"/>
    <w:rsid w:val="00577AAE"/>
    <w:rsid w:val="00592880"/>
    <w:rsid w:val="005948B3"/>
    <w:rsid w:val="005B6882"/>
    <w:rsid w:val="005B785E"/>
    <w:rsid w:val="005C57BA"/>
    <w:rsid w:val="005C6956"/>
    <w:rsid w:val="005D01B2"/>
    <w:rsid w:val="005E2022"/>
    <w:rsid w:val="005E5ED1"/>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73AE6"/>
    <w:rsid w:val="00683B5D"/>
    <w:rsid w:val="00686BE3"/>
    <w:rsid w:val="0069435C"/>
    <w:rsid w:val="006B41DE"/>
    <w:rsid w:val="006B6D1C"/>
    <w:rsid w:val="006B7538"/>
    <w:rsid w:val="006C2A62"/>
    <w:rsid w:val="006C7D4B"/>
    <w:rsid w:val="006D0B5A"/>
    <w:rsid w:val="006D13B1"/>
    <w:rsid w:val="006E42CC"/>
    <w:rsid w:val="006E614D"/>
    <w:rsid w:val="00700C3F"/>
    <w:rsid w:val="007178DE"/>
    <w:rsid w:val="0073565B"/>
    <w:rsid w:val="00753E9C"/>
    <w:rsid w:val="00756ADB"/>
    <w:rsid w:val="0076395A"/>
    <w:rsid w:val="00767CD8"/>
    <w:rsid w:val="007773B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33238"/>
    <w:rsid w:val="008404A1"/>
    <w:rsid w:val="00840976"/>
    <w:rsid w:val="00851DC8"/>
    <w:rsid w:val="00852967"/>
    <w:rsid w:val="00861D87"/>
    <w:rsid w:val="008666BC"/>
    <w:rsid w:val="0087734E"/>
    <w:rsid w:val="00877BCE"/>
    <w:rsid w:val="00883FF2"/>
    <w:rsid w:val="00890237"/>
    <w:rsid w:val="008A273B"/>
    <w:rsid w:val="008A4F5B"/>
    <w:rsid w:val="008B63BC"/>
    <w:rsid w:val="008C67BE"/>
    <w:rsid w:val="008D25F1"/>
    <w:rsid w:val="008D43B7"/>
    <w:rsid w:val="008F3619"/>
    <w:rsid w:val="008F4F3A"/>
    <w:rsid w:val="00903AAB"/>
    <w:rsid w:val="00912836"/>
    <w:rsid w:val="00912A0C"/>
    <w:rsid w:val="00914FA2"/>
    <w:rsid w:val="00915C96"/>
    <w:rsid w:val="00923AF5"/>
    <w:rsid w:val="00924326"/>
    <w:rsid w:val="00927E30"/>
    <w:rsid w:val="009370FB"/>
    <w:rsid w:val="009452F7"/>
    <w:rsid w:val="00957391"/>
    <w:rsid w:val="00965A81"/>
    <w:rsid w:val="00976D78"/>
    <w:rsid w:val="00977061"/>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1FA2"/>
    <w:rsid w:val="009F7EAB"/>
    <w:rsid w:val="00A0352D"/>
    <w:rsid w:val="00A13319"/>
    <w:rsid w:val="00A2136B"/>
    <w:rsid w:val="00A36C69"/>
    <w:rsid w:val="00A56968"/>
    <w:rsid w:val="00A61910"/>
    <w:rsid w:val="00A63F55"/>
    <w:rsid w:val="00A83B7F"/>
    <w:rsid w:val="00A862E5"/>
    <w:rsid w:val="00A919D6"/>
    <w:rsid w:val="00AA2AB9"/>
    <w:rsid w:val="00AA6E34"/>
    <w:rsid w:val="00AC52AB"/>
    <w:rsid w:val="00AD1449"/>
    <w:rsid w:val="00AD26CA"/>
    <w:rsid w:val="00AD32E8"/>
    <w:rsid w:val="00AD4BBA"/>
    <w:rsid w:val="00AD7163"/>
    <w:rsid w:val="00AE383A"/>
    <w:rsid w:val="00AF00AD"/>
    <w:rsid w:val="00AF0D37"/>
    <w:rsid w:val="00B21B85"/>
    <w:rsid w:val="00B2288D"/>
    <w:rsid w:val="00B251DE"/>
    <w:rsid w:val="00B26421"/>
    <w:rsid w:val="00B276E6"/>
    <w:rsid w:val="00B60405"/>
    <w:rsid w:val="00B60535"/>
    <w:rsid w:val="00B719B6"/>
    <w:rsid w:val="00B93647"/>
    <w:rsid w:val="00B9778A"/>
    <w:rsid w:val="00BA219C"/>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81AE6"/>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3C3B"/>
    <w:rsid w:val="00EC6A22"/>
    <w:rsid w:val="00EC798E"/>
    <w:rsid w:val="00ED0AE7"/>
    <w:rsid w:val="00ED264A"/>
    <w:rsid w:val="00EE0CD3"/>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 w:val="00FE0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95E5-1533-4453-B719-F10EEFB2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2225</Words>
  <Characters>12687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9</cp:revision>
  <cp:lastPrinted>2026-05-14T11:12:00Z</cp:lastPrinted>
  <dcterms:created xsi:type="dcterms:W3CDTF">2026-05-14T10:37:00Z</dcterms:created>
  <dcterms:modified xsi:type="dcterms:W3CDTF">2026-05-26T07:18:00Z</dcterms:modified>
</cp:coreProperties>
</file>