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2D071A">
      <w:pPr>
        <w:spacing w:before="0" w:beforeAutospacing="0" w:after="0" w:afterAutospacing="0"/>
        <w:ind w:firstLine="5245"/>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2D071A">
      <w:pPr>
        <w:pStyle w:val="ConsPlusNormal"/>
        <w:ind w:firstLine="5245"/>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2D071A">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2D071A" w:rsidRDefault="004A768E" w:rsidP="002D071A">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FD0E55">
        <w:rPr>
          <w:rFonts w:asciiTheme="minorHAnsi" w:hAnsiTheme="minorHAnsi" w:cstheme="minorHAnsi"/>
          <w:sz w:val="24"/>
          <w:szCs w:val="24"/>
        </w:rPr>
        <w:t xml:space="preserve">работ по </w:t>
      </w:r>
      <w:r w:rsidR="002D071A">
        <w:rPr>
          <w:rFonts w:asciiTheme="minorHAnsi" w:hAnsiTheme="minorHAnsi" w:cstheme="minorHAnsi"/>
          <w:sz w:val="24"/>
          <w:szCs w:val="24"/>
        </w:rPr>
        <w:t xml:space="preserve">ремонту перегородок </w:t>
      </w:r>
    </w:p>
    <w:p w:rsidR="00FA2658" w:rsidRPr="004A768E" w:rsidRDefault="002D071A" w:rsidP="002D071A">
      <w:pPr>
        <w:pStyle w:val="ConsPlusNormal"/>
        <w:ind w:firstLine="5245"/>
        <w:rPr>
          <w:rFonts w:asciiTheme="minorHAnsi" w:hAnsiTheme="minorHAnsi" w:cstheme="minorHAnsi"/>
          <w:sz w:val="24"/>
          <w:szCs w:val="24"/>
        </w:rPr>
      </w:pPr>
      <w:r>
        <w:rPr>
          <w:rFonts w:asciiTheme="minorHAnsi" w:hAnsiTheme="minorHAnsi" w:cstheme="minorHAnsi"/>
          <w:sz w:val="24"/>
          <w:szCs w:val="24"/>
        </w:rPr>
        <w:t>на 2 этаже строения 2 ИПУ РАН</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302FA0" w:rsidRDefault="00302FA0" w:rsidP="004C5204">
      <w:pPr>
        <w:spacing w:before="0" w:beforeAutospacing="0" w:after="0" w:afterAutospacing="0"/>
        <w:jc w:val="center"/>
        <w:rPr>
          <w:rFonts w:hAnsi="Times New Roman" w:cs="Times New Roman"/>
          <w:b/>
          <w:bCs/>
          <w:color w:val="000000"/>
          <w:sz w:val="24"/>
          <w:szCs w:val="24"/>
          <w:lang w:val="ru-RU"/>
        </w:rPr>
      </w:pPr>
      <w:r w:rsidRPr="00302FA0">
        <w:rPr>
          <w:rFonts w:hAnsi="Times New Roman" w:cs="Times New Roman"/>
          <w:b/>
          <w:bCs/>
          <w:color w:val="000000"/>
          <w:sz w:val="24"/>
          <w:szCs w:val="24"/>
          <w:lang w:val="ru-RU"/>
        </w:rPr>
        <w:t>на</w:t>
      </w:r>
      <w:r w:rsidR="004C5204">
        <w:rPr>
          <w:rFonts w:hAnsi="Times New Roman" w:cs="Times New Roman"/>
          <w:b/>
          <w:bCs/>
          <w:color w:val="000000"/>
          <w:sz w:val="24"/>
          <w:szCs w:val="24"/>
          <w:lang w:val="ru-RU"/>
        </w:rPr>
        <w:t xml:space="preserve"> выполнение </w:t>
      </w:r>
      <w:r w:rsidR="00FD0E55">
        <w:rPr>
          <w:rFonts w:hAnsi="Times New Roman" w:cs="Times New Roman"/>
          <w:b/>
          <w:bCs/>
          <w:color w:val="000000"/>
          <w:sz w:val="24"/>
          <w:szCs w:val="24"/>
          <w:lang w:val="ru-RU"/>
        </w:rPr>
        <w:t xml:space="preserve">работ по </w:t>
      </w:r>
      <w:r w:rsidR="002D071A">
        <w:rPr>
          <w:rFonts w:hAnsi="Times New Roman" w:cs="Times New Roman"/>
          <w:b/>
          <w:bCs/>
          <w:color w:val="000000"/>
          <w:sz w:val="24"/>
          <w:szCs w:val="24"/>
          <w:lang w:val="ru-RU"/>
        </w:rPr>
        <w:t>ремонту перегородок на 2 этаже строения 2 ИПУ РАН</w:t>
      </w:r>
      <w:bookmarkStart w:id="0" w:name="_GoBack"/>
      <w:bookmarkEnd w:id="0"/>
    </w:p>
    <w:p w:rsidR="004C5204" w:rsidRPr="004A768E" w:rsidRDefault="004C5204" w:rsidP="004C5204">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FD0E55" w:rsidP="00321FB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D75D24" w:rsidRPr="00D76B87"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2D071A">
              <w:rPr>
                <w:rFonts w:ascii="Times New Roman" w:eastAsia="Times New Roman" w:hAnsi="Times New Roman" w:cs="Times New Roman"/>
                <w:b/>
                <w:sz w:val="24"/>
                <w:szCs w:val="24"/>
                <w:lang w:val="ru-RU" w:eastAsia="ru-RU"/>
              </w:rPr>
              <w:t>59 987</w:t>
            </w:r>
            <w:r w:rsidR="00D36967" w:rsidRPr="00D36967">
              <w:rPr>
                <w:rFonts w:ascii="Times New Roman" w:eastAsia="Times New Roman" w:hAnsi="Times New Roman" w:cs="Times New Roman"/>
                <w:sz w:val="24"/>
                <w:szCs w:val="24"/>
                <w:lang w:val="ru-RU" w:eastAsia="ru-RU"/>
              </w:rPr>
              <w:t xml:space="preserve"> (</w:t>
            </w:r>
            <w:r w:rsidR="002D071A">
              <w:rPr>
                <w:rFonts w:ascii="Times New Roman" w:eastAsia="Times New Roman" w:hAnsi="Times New Roman" w:cs="Times New Roman"/>
                <w:sz w:val="24"/>
                <w:szCs w:val="24"/>
                <w:lang w:val="ru-RU" w:eastAsia="ru-RU"/>
              </w:rPr>
              <w:t xml:space="preserve">Пятьдесят девять тысяч девятьсот восемьдесят семь) </w:t>
            </w:r>
            <w:r w:rsidR="00D36967" w:rsidRPr="00FD0E55">
              <w:rPr>
                <w:rFonts w:ascii="Times New Roman" w:eastAsia="Times New Roman" w:hAnsi="Times New Roman" w:cs="Times New Roman"/>
                <w:b/>
                <w:sz w:val="24"/>
                <w:szCs w:val="24"/>
                <w:lang w:val="ru-RU" w:eastAsia="ru-RU"/>
              </w:rPr>
              <w:t>рубл</w:t>
            </w:r>
            <w:r w:rsidR="004C5204" w:rsidRPr="00FD0E55">
              <w:rPr>
                <w:rFonts w:ascii="Times New Roman" w:eastAsia="Times New Roman" w:hAnsi="Times New Roman" w:cs="Times New Roman"/>
                <w:b/>
                <w:sz w:val="24"/>
                <w:szCs w:val="24"/>
                <w:lang w:val="ru-RU" w:eastAsia="ru-RU"/>
              </w:rPr>
              <w:t>ей</w:t>
            </w:r>
            <w:r w:rsidR="00D36967" w:rsidRPr="00D36967">
              <w:rPr>
                <w:rFonts w:ascii="Times New Roman" w:eastAsia="Times New Roman" w:hAnsi="Times New Roman" w:cs="Times New Roman"/>
                <w:sz w:val="24"/>
                <w:szCs w:val="24"/>
                <w:lang w:val="ru-RU" w:eastAsia="ru-RU"/>
              </w:rPr>
              <w:t xml:space="preserve"> </w:t>
            </w:r>
            <w:r w:rsidR="002D071A">
              <w:rPr>
                <w:rFonts w:ascii="Times New Roman" w:eastAsia="Times New Roman" w:hAnsi="Times New Roman" w:cs="Times New Roman"/>
                <w:b/>
                <w:sz w:val="24"/>
                <w:szCs w:val="24"/>
                <w:lang w:val="ru-RU" w:eastAsia="ru-RU"/>
              </w:rPr>
              <w:t>53</w:t>
            </w:r>
            <w:r w:rsidR="00024C2F">
              <w:rPr>
                <w:rFonts w:ascii="Times New Roman" w:eastAsia="Times New Roman" w:hAnsi="Times New Roman" w:cs="Times New Roman"/>
                <w:sz w:val="24"/>
                <w:szCs w:val="24"/>
                <w:lang w:val="ru-RU" w:eastAsia="ru-RU"/>
              </w:rPr>
              <w:t xml:space="preserve"> </w:t>
            </w:r>
            <w:r w:rsidR="00024C2F" w:rsidRPr="00FD0E55">
              <w:rPr>
                <w:rFonts w:ascii="Times New Roman" w:eastAsia="Times New Roman" w:hAnsi="Times New Roman" w:cs="Times New Roman"/>
                <w:b/>
                <w:sz w:val="24"/>
                <w:szCs w:val="24"/>
                <w:lang w:val="ru-RU" w:eastAsia="ru-RU"/>
              </w:rPr>
              <w:t>копе</w:t>
            </w:r>
            <w:r w:rsidR="00532C21">
              <w:rPr>
                <w:rFonts w:ascii="Times New Roman" w:eastAsia="Times New Roman" w:hAnsi="Times New Roman" w:cs="Times New Roman"/>
                <w:b/>
                <w:sz w:val="24"/>
                <w:szCs w:val="24"/>
                <w:lang w:val="ru-RU" w:eastAsia="ru-RU"/>
              </w:rPr>
              <w:t>йк</w:t>
            </w:r>
            <w:r w:rsidR="002D071A">
              <w:rPr>
                <w:rFonts w:ascii="Times New Roman" w:eastAsia="Times New Roman" w:hAnsi="Times New Roman" w:cs="Times New Roman"/>
                <w:b/>
                <w:sz w:val="24"/>
                <w:szCs w:val="24"/>
                <w:lang w:val="ru-RU" w:eastAsia="ru-RU"/>
              </w:rPr>
              <w:t>и</w:t>
            </w:r>
            <w:r w:rsidR="00055FAD" w:rsidRPr="00055FAD">
              <w:rPr>
                <w:rFonts w:ascii="Times New Roman" w:eastAsia="Times New Roman" w:hAnsi="Times New Roman" w:cs="Times New Roman"/>
                <w:b/>
                <w:sz w:val="24"/>
                <w:szCs w:val="24"/>
                <w:lang w:val="ru-RU" w:eastAsia="ru-RU"/>
              </w:rPr>
              <w:t xml:space="preserve">, </w:t>
            </w:r>
            <w:r w:rsidR="00055FAD" w:rsidRPr="00FD0E55">
              <w:rPr>
                <w:rFonts w:ascii="Times New Roman" w:eastAsia="Times New Roman" w:hAnsi="Times New Roman" w:cs="Times New Roman"/>
                <w:sz w:val="24"/>
                <w:szCs w:val="24"/>
                <w:lang w:val="ru-RU" w:eastAsia="ru-RU"/>
              </w:rPr>
              <w:t>что составляет</w:t>
            </w:r>
            <w:r w:rsidR="00055FAD" w:rsidRPr="00055FAD">
              <w:rPr>
                <w:rFonts w:ascii="Times New Roman" w:eastAsia="Times New Roman" w:hAnsi="Times New Roman" w:cs="Times New Roman"/>
                <w:b/>
                <w:sz w:val="24"/>
                <w:szCs w:val="24"/>
                <w:lang w:val="ru-RU" w:eastAsia="ru-RU"/>
              </w:rPr>
              <w:t xml:space="preserve">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D071A" w:rsidRDefault="002D07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2D071A" w:rsidRPr="002B28F3" w:rsidRDefault="002D071A" w:rsidP="002D07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2D071A">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№44-ФЗ.</w:t>
            </w:r>
          </w:p>
        </w:tc>
      </w:tr>
      <w:tr w:rsidR="003343B9" w:rsidRPr="00D76B8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w:t>
            </w:r>
            <w:r w:rsidRPr="00FD0E55">
              <w:rPr>
                <w:rFonts w:ascii="Times New Roman" w:hAnsi="Times New Roman" w:cs="Times New Roman"/>
                <w:sz w:val="24"/>
                <w:szCs w:val="24"/>
                <w:lang w:val="ru-RU" w:eastAsia="ru-RU"/>
              </w:rPr>
              <w:t>что составляет</w:t>
            </w:r>
            <w:r w:rsidRPr="00055FAD">
              <w:rPr>
                <w:rFonts w:ascii="Times New Roman" w:hAnsi="Times New Roman" w:cs="Times New Roman"/>
                <w:b/>
                <w:sz w:val="24"/>
                <w:szCs w:val="24"/>
                <w:lang w:val="ru-RU" w:eastAsia="ru-RU"/>
              </w:rPr>
              <w:t xml:space="preserve"> </w:t>
            </w:r>
            <w:r w:rsidR="002D071A">
              <w:rPr>
                <w:rFonts w:ascii="Times New Roman" w:hAnsi="Times New Roman" w:cs="Times New Roman"/>
                <w:b/>
                <w:sz w:val="24"/>
                <w:szCs w:val="24"/>
                <w:lang w:val="ru-RU" w:eastAsia="ru-RU"/>
              </w:rPr>
              <w:t>59 987</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2D071A">
              <w:rPr>
                <w:rFonts w:ascii="Times New Roman" w:hAnsi="Times New Roman" w:cs="Times New Roman"/>
                <w:sz w:val="24"/>
                <w:szCs w:val="24"/>
                <w:lang w:val="ru-RU" w:eastAsia="ru-RU"/>
              </w:rPr>
              <w:t xml:space="preserve">Пятьдесят девять тысяч девятьсот восемьдесят семь) </w:t>
            </w:r>
            <w:r w:rsidR="00FA2658">
              <w:rPr>
                <w:rFonts w:ascii="Times New Roman" w:hAnsi="Times New Roman" w:cs="Times New Roman"/>
                <w:b/>
                <w:sz w:val="24"/>
                <w:szCs w:val="24"/>
                <w:lang w:val="ru-RU" w:eastAsia="ru-RU"/>
              </w:rPr>
              <w:t>рубл</w:t>
            </w:r>
            <w:r w:rsidR="004C5204">
              <w:rPr>
                <w:rFonts w:ascii="Times New Roman" w:hAnsi="Times New Roman" w:cs="Times New Roman"/>
                <w:b/>
                <w:sz w:val="24"/>
                <w:szCs w:val="24"/>
                <w:lang w:val="ru-RU" w:eastAsia="ru-RU"/>
              </w:rPr>
              <w:t>ей</w:t>
            </w:r>
            <w:r w:rsidR="00FA2658">
              <w:rPr>
                <w:rFonts w:ascii="Times New Roman" w:hAnsi="Times New Roman" w:cs="Times New Roman"/>
                <w:b/>
                <w:sz w:val="24"/>
                <w:szCs w:val="24"/>
                <w:lang w:val="ru-RU" w:eastAsia="ru-RU"/>
              </w:rPr>
              <w:t xml:space="preserve"> </w:t>
            </w:r>
            <w:r w:rsidR="002D071A">
              <w:rPr>
                <w:rFonts w:ascii="Times New Roman" w:hAnsi="Times New Roman" w:cs="Times New Roman"/>
                <w:b/>
                <w:sz w:val="24"/>
                <w:szCs w:val="24"/>
                <w:lang w:val="ru-RU" w:eastAsia="ru-RU"/>
              </w:rPr>
              <w:t>53</w:t>
            </w:r>
            <w:r w:rsidR="00024C2F">
              <w:rPr>
                <w:rFonts w:ascii="Times New Roman" w:hAnsi="Times New Roman" w:cs="Times New Roman"/>
                <w:b/>
                <w:sz w:val="24"/>
                <w:szCs w:val="24"/>
                <w:lang w:val="ru-RU" w:eastAsia="ru-RU"/>
              </w:rPr>
              <w:t xml:space="preserve"> копе</w:t>
            </w:r>
            <w:r w:rsidR="00532C21">
              <w:rPr>
                <w:rFonts w:ascii="Times New Roman" w:hAnsi="Times New Roman" w:cs="Times New Roman"/>
                <w:b/>
                <w:sz w:val="24"/>
                <w:szCs w:val="24"/>
                <w:lang w:val="ru-RU" w:eastAsia="ru-RU"/>
              </w:rPr>
              <w:t>йк</w:t>
            </w:r>
            <w:r w:rsidR="002D071A">
              <w:rPr>
                <w:rFonts w:ascii="Times New Roman" w:hAnsi="Times New Roman" w:cs="Times New Roman"/>
                <w:b/>
                <w:sz w:val="24"/>
                <w:szCs w:val="24"/>
                <w:lang w:val="ru-RU" w:eastAsia="ru-RU"/>
              </w:rPr>
              <w:t>и</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1"/>
      <w:footerReference w:type="default" r:id="rId12"/>
      <w:headerReference w:type="first" r:id="rId13"/>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2D071A">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071A"/>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2C21"/>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E77CF"/>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76B87"/>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D0E55"/>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E0B00-8ACD-41F8-9514-A05CCB1C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2688</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37</cp:revision>
  <cp:lastPrinted>2023-06-06T12:40:00Z</cp:lastPrinted>
  <dcterms:created xsi:type="dcterms:W3CDTF">2022-05-20T09:00:00Z</dcterms:created>
  <dcterms:modified xsi:type="dcterms:W3CDTF">2024-03-28T09:17:00Z</dcterms:modified>
</cp:coreProperties>
</file>