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Pr="00E133D3" w:rsidRDefault="00403AA9" w:rsidP="00E133D3">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070F13">
        <w:rPr>
          <w:b/>
          <w:sz w:val="24"/>
          <w:szCs w:val="24"/>
        </w:rPr>
        <w:t>строительных материалов</w:t>
      </w:r>
      <w:r w:rsidR="00545C11">
        <w:rPr>
          <w:b/>
          <w:sz w:val="24"/>
          <w:szCs w:val="24"/>
        </w:rPr>
        <w:t xml:space="preserve"> для нужд </w:t>
      </w:r>
      <w:r w:rsidR="00070F13">
        <w:rPr>
          <w:b/>
          <w:sz w:val="24"/>
          <w:szCs w:val="24"/>
        </w:rPr>
        <w:t xml:space="preserve">текущего ремонта </w:t>
      </w:r>
      <w:r w:rsidR="00545C11">
        <w:rPr>
          <w:b/>
          <w:sz w:val="24"/>
          <w:szCs w:val="24"/>
        </w:rPr>
        <w:t>ИПУ РАН</w:t>
      </w: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7B77E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7B77EC">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E6264" w:rsidRPr="007B77EC">
              <w:rPr>
                <w:sz w:val="24"/>
                <w:szCs w:val="24"/>
              </w:rPr>
              <w:t>00</w:t>
            </w:r>
            <w:r w:rsidR="007B77EC" w:rsidRPr="007B77EC">
              <w:rPr>
                <w:sz w:val="24"/>
                <w:szCs w:val="24"/>
              </w:rPr>
              <w:t>68</w:t>
            </w:r>
            <w:r w:rsidRPr="007B77EC">
              <w:rPr>
                <w:sz w:val="24"/>
                <w:szCs w:val="24"/>
              </w:rPr>
              <w:t xml:space="preserve"> 00</w:t>
            </w:r>
            <w:r w:rsidR="007B77EC" w:rsidRPr="007B77EC">
              <w:rPr>
                <w:sz w:val="24"/>
                <w:szCs w:val="24"/>
              </w:rPr>
              <w:t>1</w:t>
            </w:r>
            <w:r w:rsidRPr="007B77EC">
              <w:rPr>
                <w:sz w:val="24"/>
                <w:szCs w:val="24"/>
              </w:rPr>
              <w:t xml:space="preserve"> </w:t>
            </w:r>
            <w:r w:rsidR="007B77EC">
              <w:rPr>
                <w:sz w:val="24"/>
                <w:szCs w:val="24"/>
              </w:rPr>
              <w:t>2331</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E133D3">
        <w:trPr>
          <w:trHeight w:val="647"/>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E133D3">
        <w:trPr>
          <w:trHeight w:val="321"/>
        </w:trPr>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45C1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E133D3" w:rsidRPr="00E133D3">
              <w:rPr>
                <w:sz w:val="24"/>
                <w:szCs w:val="24"/>
              </w:rPr>
              <w:t>строительных материалов для нужд текущего ремонта</w:t>
            </w:r>
            <w:r w:rsidR="00E133D3" w:rsidRPr="00E133D3">
              <w:rPr>
                <w:b/>
                <w:sz w:val="24"/>
                <w:szCs w:val="24"/>
              </w:rPr>
              <w:t xml:space="preserve"> </w:t>
            </w:r>
            <w:r w:rsidRPr="00545C11">
              <w:rPr>
                <w:sz w:val="24"/>
                <w:szCs w:val="24"/>
              </w:rPr>
              <w:t>ИПУ РАН</w:t>
            </w:r>
          </w:p>
        </w:tc>
      </w:tr>
      <w:tr w:rsidR="00D2151A" w:rsidRPr="00621123" w:rsidTr="00E133D3">
        <w:trPr>
          <w:trHeight w:val="1395"/>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E6422F" w:rsidRPr="00E6422F" w:rsidRDefault="00061730" w:rsidP="00E6422F">
            <w:pPr>
              <w:shd w:val="clear" w:color="auto" w:fill="FFFFFF"/>
              <w:spacing w:after="0"/>
              <w:ind w:left="30" w:right="30"/>
              <w:jc w:val="both"/>
              <w:outlineLvl w:val="2"/>
              <w:rPr>
                <w:rFonts w:eastAsia="Times New Roman" w:cs="Times New Roman"/>
                <w:bCs/>
                <w:color w:val="000000"/>
                <w:sz w:val="24"/>
                <w:szCs w:val="24"/>
                <w:lang w:eastAsia="ru-RU"/>
              </w:rPr>
            </w:pPr>
            <w:r>
              <w:rPr>
                <w:rFonts w:eastAsia="Times New Roman" w:cs="Times New Roman"/>
                <w:bCs/>
                <w:sz w:val="24"/>
                <w:szCs w:val="24"/>
                <w:shd w:val="clear" w:color="auto" w:fill="FFFFFF"/>
                <w:lang w:eastAsia="zh-CN"/>
              </w:rPr>
              <w:t xml:space="preserve">ОКПД 2: </w:t>
            </w:r>
            <w:r w:rsidR="00E6422F" w:rsidRPr="00E6422F">
              <w:rPr>
                <w:rFonts w:eastAsia="Times New Roman" w:cs="Times New Roman"/>
                <w:bCs/>
                <w:color w:val="000000"/>
                <w:sz w:val="24"/>
                <w:szCs w:val="24"/>
                <w:lang w:eastAsia="ru-RU"/>
              </w:rPr>
              <w:t>23.31.10.122 - Плитки керамические для полов (КТРУ 23.31.10.120-00000003 Плитка керамическая).</w:t>
            </w:r>
          </w:p>
          <w:p w:rsidR="009C404D" w:rsidRPr="000B6819" w:rsidRDefault="009C404D" w:rsidP="000B6819">
            <w:pPr>
              <w:shd w:val="clear" w:color="auto" w:fill="FFFFFF"/>
              <w:spacing w:after="0"/>
              <w:ind w:left="30" w:right="30"/>
              <w:jc w:val="both"/>
              <w:outlineLvl w:val="2"/>
              <w:rPr>
                <w:rFonts w:eastAsia="Times New Roman" w:cs="Times New Roman"/>
                <w:bCs/>
                <w:i/>
                <w:color w:val="000000"/>
                <w:sz w:val="24"/>
                <w:szCs w:val="24"/>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w:t>
            </w:r>
            <w:r w:rsidRPr="00621123">
              <w:rPr>
                <w:sz w:val="24"/>
                <w:szCs w:val="24"/>
              </w:rPr>
              <w:lastRenderedPageBreak/>
              <w:t xml:space="preserve">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A061B8" w:rsidRDefault="00E6422F" w:rsidP="000B6819">
            <w:pPr>
              <w:pStyle w:val="ConsPlusNormal"/>
              <w:rPr>
                <w:sz w:val="24"/>
                <w:szCs w:val="24"/>
              </w:rPr>
            </w:pPr>
            <w:r w:rsidRPr="00E6422F">
              <w:rPr>
                <w:sz w:val="24"/>
                <w:szCs w:val="24"/>
              </w:rPr>
              <w:t>Плитка керамическая</w:t>
            </w:r>
            <w:r>
              <w:rPr>
                <w:sz w:val="24"/>
                <w:szCs w:val="24"/>
              </w:rPr>
              <w:t xml:space="preserve"> - 1 878 кв. м.</w:t>
            </w:r>
          </w:p>
          <w:p w:rsidR="00FB2F99" w:rsidRPr="00621123"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7B77EC">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DB05F7">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bookmarkStart w:id="0" w:name="_GoBack"/>
            <w:bookmarkEnd w:id="0"/>
            <w:r w:rsidRPr="007B77EC">
              <w:rPr>
                <w:sz w:val="24"/>
                <w:szCs w:val="24"/>
              </w:rPr>
              <w:t xml:space="preserve">по </w:t>
            </w:r>
            <w:r w:rsidR="007B77EC" w:rsidRPr="007B77EC">
              <w:rPr>
                <w:sz w:val="24"/>
                <w:szCs w:val="24"/>
              </w:rPr>
              <w:t>«31</w:t>
            </w:r>
            <w:r w:rsidR="005730A4" w:rsidRPr="007B77EC">
              <w:rPr>
                <w:sz w:val="24"/>
                <w:szCs w:val="24"/>
              </w:rPr>
              <w:t>»</w:t>
            </w:r>
            <w:r w:rsidR="009370FB" w:rsidRPr="007B77EC">
              <w:rPr>
                <w:sz w:val="24"/>
                <w:szCs w:val="24"/>
              </w:rPr>
              <w:t xml:space="preserve"> </w:t>
            </w:r>
            <w:r w:rsidR="007B77EC" w:rsidRPr="007B77EC">
              <w:rPr>
                <w:sz w:val="24"/>
                <w:szCs w:val="24"/>
              </w:rPr>
              <w:t>июля</w:t>
            </w:r>
            <w:r w:rsidR="009370FB" w:rsidRPr="007B77EC">
              <w:rPr>
                <w:sz w:val="24"/>
                <w:szCs w:val="24"/>
              </w:rPr>
              <w:t xml:space="preserve"> 2023 </w:t>
            </w:r>
            <w:r w:rsidR="000A6DAD" w:rsidRPr="007B77EC">
              <w:rPr>
                <w:sz w:val="24"/>
                <w:szCs w:val="24"/>
              </w:rPr>
              <w:t>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E6422F" w:rsidP="00A061B8">
            <w:pPr>
              <w:pStyle w:val="ConsPlusNormal"/>
              <w:jc w:val="both"/>
              <w:rPr>
                <w:sz w:val="24"/>
                <w:szCs w:val="24"/>
              </w:rPr>
            </w:pPr>
            <w:r w:rsidRPr="00E6422F">
              <w:rPr>
                <w:b/>
                <w:bCs/>
                <w:sz w:val="24"/>
                <w:szCs w:val="24"/>
              </w:rPr>
              <w:t xml:space="preserve">1 386 471 </w:t>
            </w:r>
            <w:r>
              <w:rPr>
                <w:bCs/>
                <w:sz w:val="24"/>
                <w:szCs w:val="24"/>
              </w:rPr>
              <w:t>(О</w:t>
            </w:r>
            <w:r w:rsidRPr="00E6422F">
              <w:rPr>
                <w:bCs/>
                <w:sz w:val="24"/>
                <w:szCs w:val="24"/>
              </w:rPr>
              <w:t>дин миллион триста восемьдесят шесть тысяч четыреста семьдесят один) рубль</w:t>
            </w:r>
            <w:r w:rsidRPr="00E6422F">
              <w:rPr>
                <w:b/>
                <w:bCs/>
                <w:sz w:val="24"/>
                <w:szCs w:val="24"/>
              </w:rPr>
              <w:t xml:space="preserve"> 06 копеек, </w:t>
            </w:r>
            <w:r w:rsidRPr="00E6422F">
              <w:rPr>
                <w:bCs/>
                <w:sz w:val="24"/>
                <w:szCs w:val="24"/>
              </w:rPr>
              <w:t>с учетом НДС 20 % - 231</w:t>
            </w:r>
            <w:r>
              <w:rPr>
                <w:bCs/>
                <w:sz w:val="24"/>
                <w:szCs w:val="24"/>
              </w:rPr>
              <w:t xml:space="preserve"> </w:t>
            </w:r>
            <w:r w:rsidRPr="00E6422F">
              <w:rPr>
                <w:bCs/>
                <w:sz w:val="24"/>
                <w:szCs w:val="24"/>
              </w:rPr>
              <w:t>078,51 рублей</w:t>
            </w:r>
            <w:r>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w:t>
            </w:r>
            <w:r w:rsidRPr="00F66697">
              <w:rPr>
                <w:sz w:val="24"/>
                <w:szCs w:val="24"/>
              </w:rPr>
              <w:lastRenderedPageBreak/>
              <w:t>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lastRenderedPageBreak/>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lastRenderedPageBreak/>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Pr="00224402" w:rsidRDefault="00224402" w:rsidP="00EA6B31">
            <w:pPr>
              <w:pStyle w:val="ConsPlusNormal"/>
              <w:rPr>
                <w:b/>
                <w:i/>
                <w:sz w:val="24"/>
                <w:szCs w:val="24"/>
                <w:u w:val="single"/>
              </w:rPr>
            </w:pPr>
            <w:r w:rsidRPr="00224402">
              <w:rPr>
                <w:b/>
                <w:i/>
                <w:sz w:val="24"/>
                <w:szCs w:val="24"/>
                <w:u w:val="single"/>
              </w:rPr>
              <w:t>У</w:t>
            </w:r>
            <w:r w:rsidR="004659E8" w:rsidRPr="00224402">
              <w:rPr>
                <w:b/>
                <w:i/>
                <w:sz w:val="24"/>
                <w:szCs w:val="24"/>
                <w:u w:val="single"/>
              </w:rPr>
              <w:t>становлено</w:t>
            </w:r>
            <w:r w:rsidR="000A6DAD" w:rsidRPr="00224402">
              <w:rPr>
                <w:b/>
                <w:i/>
                <w:sz w:val="24"/>
                <w:szCs w:val="24"/>
                <w:u w:val="single"/>
              </w:rPr>
              <w:t>:</w:t>
            </w: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573B0" w:rsidRDefault="001573B0" w:rsidP="001573B0">
            <w:pPr>
              <w:pStyle w:val="ConsPlusNormal"/>
              <w:jc w:val="both"/>
              <w:rPr>
                <w:sz w:val="24"/>
                <w:szCs w:val="24"/>
              </w:rPr>
            </w:pPr>
            <w:r w:rsidRPr="0037632A">
              <w:rPr>
                <w:sz w:val="24"/>
                <w:szCs w:val="24"/>
              </w:rPr>
              <w:t>Размер обеспечен</w:t>
            </w:r>
            <w:r>
              <w:rPr>
                <w:sz w:val="24"/>
                <w:szCs w:val="24"/>
              </w:rPr>
              <w:t>ия заявки на участие в закупке -</w:t>
            </w:r>
            <w:r w:rsidRPr="0037632A">
              <w:rPr>
                <w:sz w:val="24"/>
                <w:szCs w:val="24"/>
              </w:rPr>
              <w:t xml:space="preserve"> </w:t>
            </w:r>
            <w:r>
              <w:rPr>
                <w:sz w:val="24"/>
                <w:szCs w:val="24"/>
              </w:rPr>
              <w:br/>
            </w:r>
            <w:r w:rsidRPr="0037632A">
              <w:rPr>
                <w:b/>
                <w:sz w:val="24"/>
                <w:szCs w:val="24"/>
              </w:rPr>
              <w:t>1</w:t>
            </w:r>
            <w:r>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Pr>
                <w:b/>
                <w:sz w:val="24"/>
                <w:szCs w:val="24"/>
              </w:rPr>
              <w:t>13 864</w:t>
            </w:r>
            <w:r w:rsidRPr="00A7732A">
              <w:rPr>
                <w:sz w:val="24"/>
                <w:szCs w:val="24"/>
              </w:rPr>
              <w:t xml:space="preserve"> (</w:t>
            </w:r>
            <w:r>
              <w:rPr>
                <w:sz w:val="24"/>
                <w:szCs w:val="24"/>
              </w:rPr>
              <w:t xml:space="preserve">Тринадцать тысяч восемьсот шестьдесят четыре) </w:t>
            </w:r>
            <w:r w:rsidRPr="00A7732A">
              <w:rPr>
                <w:b/>
                <w:sz w:val="24"/>
                <w:szCs w:val="24"/>
              </w:rPr>
              <w:t>рубл</w:t>
            </w:r>
            <w:r>
              <w:rPr>
                <w:b/>
                <w:sz w:val="24"/>
                <w:szCs w:val="24"/>
              </w:rPr>
              <w:t>я</w:t>
            </w:r>
            <w:r w:rsidRPr="00A7732A">
              <w:rPr>
                <w:b/>
                <w:sz w:val="24"/>
                <w:szCs w:val="24"/>
              </w:rPr>
              <w:t xml:space="preserve"> </w:t>
            </w:r>
            <w:r>
              <w:rPr>
                <w:b/>
                <w:sz w:val="24"/>
                <w:szCs w:val="24"/>
              </w:rPr>
              <w:t>71 копей</w:t>
            </w:r>
            <w:r w:rsidRPr="00A7732A">
              <w:rPr>
                <w:b/>
                <w:sz w:val="24"/>
                <w:szCs w:val="24"/>
              </w:rPr>
              <w:t>к</w:t>
            </w:r>
            <w:r>
              <w:rPr>
                <w:b/>
                <w:sz w:val="24"/>
                <w:szCs w:val="24"/>
              </w:rPr>
              <w:t>а</w:t>
            </w:r>
            <w:r w:rsidRPr="00A7732A">
              <w:rPr>
                <w:sz w:val="24"/>
                <w:szCs w:val="24"/>
              </w:rPr>
              <w:t>.</w:t>
            </w:r>
            <w:r>
              <w:rPr>
                <w:sz w:val="24"/>
                <w:szCs w:val="24"/>
              </w:rPr>
              <w:t xml:space="preserve"> </w:t>
            </w:r>
            <w:r w:rsidRPr="00254B8A">
              <w:rPr>
                <w:sz w:val="24"/>
                <w:szCs w:val="24"/>
              </w:rPr>
              <w:t>НДС не облагается.</w:t>
            </w:r>
          </w:p>
          <w:p w:rsidR="001573B0" w:rsidRDefault="001573B0" w:rsidP="001573B0">
            <w:pPr>
              <w:pStyle w:val="ConsPlusNormal"/>
              <w:jc w:val="both"/>
              <w:rPr>
                <w:sz w:val="24"/>
                <w:szCs w:val="24"/>
              </w:rPr>
            </w:pPr>
          </w:p>
          <w:p w:rsidR="001573B0" w:rsidRDefault="001573B0" w:rsidP="001573B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1573B0" w:rsidP="001573B0">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Pr>
                <w:i/>
                <w:sz w:val="24"/>
                <w:szCs w:val="24"/>
              </w:rPr>
              <w:t>5</w:t>
            </w:r>
            <w:r w:rsidRPr="00DF62DC">
              <w:rPr>
                <w:i/>
                <w:sz w:val="24"/>
                <w:szCs w:val="24"/>
              </w:rPr>
              <w:t xml:space="preserve"> к Извещению о</w:t>
            </w:r>
            <w:r>
              <w:rPr>
                <w:i/>
                <w:sz w:val="24"/>
                <w:szCs w:val="24"/>
              </w:rPr>
              <w:t>б осуществлении закупки при</w:t>
            </w:r>
            <w:r w:rsidRPr="00DF62DC">
              <w:rPr>
                <w:i/>
                <w:sz w:val="24"/>
                <w:szCs w:val="24"/>
              </w:rPr>
              <w:t xml:space="preserve"> проведении электронного </w:t>
            </w:r>
            <w:r>
              <w:rPr>
                <w:i/>
                <w:sz w:val="24"/>
                <w:szCs w:val="24"/>
              </w:rPr>
              <w:t>аукциона на поставку строительных материалов для нужд текущего ремонта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E6422F">
              <w:rPr>
                <w:i/>
                <w:sz w:val="24"/>
                <w:szCs w:val="24"/>
              </w:rPr>
              <w:t>строительных материалов</w:t>
            </w:r>
            <w:r w:rsidR="00137D66" w:rsidRPr="00137D66">
              <w:rPr>
                <w:i/>
                <w:sz w:val="24"/>
                <w:szCs w:val="24"/>
              </w:rPr>
              <w:t xml:space="preserve"> </w:t>
            </w:r>
            <w:r w:rsidR="00E04F35">
              <w:rPr>
                <w:i/>
                <w:sz w:val="24"/>
                <w:szCs w:val="24"/>
              </w:rPr>
              <w:t>для нужд</w:t>
            </w:r>
            <w:r w:rsidR="00E6422F">
              <w:rPr>
                <w:i/>
                <w:sz w:val="24"/>
                <w:szCs w:val="24"/>
              </w:rPr>
              <w:t xml:space="preserve"> текущего ремонта</w:t>
            </w:r>
            <w:r w:rsidR="00E04F35">
              <w:rPr>
                <w:i/>
                <w:sz w:val="24"/>
                <w:szCs w:val="24"/>
              </w:rPr>
              <w:t xml:space="preserve"> ИПУ РАН.</w:t>
            </w: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004F46" w:rsidRDefault="00004F46" w:rsidP="00004F46">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Pr="00E04F35">
              <w:rPr>
                <w:b/>
                <w:sz w:val="24"/>
                <w:szCs w:val="24"/>
              </w:rPr>
              <w:t>5 %</w:t>
            </w:r>
            <w:r w:rsidRPr="00E04F35">
              <w:rPr>
                <w:sz w:val="24"/>
                <w:szCs w:val="24"/>
              </w:rPr>
              <w:t xml:space="preserve"> от начальной (максимальной) цены контракта, что составляет </w:t>
            </w:r>
            <w:r>
              <w:rPr>
                <w:b/>
                <w:sz w:val="24"/>
                <w:szCs w:val="24"/>
              </w:rPr>
              <w:t>69 323</w:t>
            </w:r>
            <w:r w:rsidRPr="00F20AC4">
              <w:rPr>
                <w:b/>
                <w:sz w:val="24"/>
                <w:szCs w:val="24"/>
              </w:rPr>
              <w:t xml:space="preserve"> (</w:t>
            </w:r>
            <w:r>
              <w:rPr>
                <w:b/>
                <w:sz w:val="24"/>
                <w:szCs w:val="24"/>
              </w:rPr>
              <w:t>Шестьдесят девять тысяч триста двадцать три) рубля 55</w:t>
            </w:r>
            <w:r w:rsidRPr="00F20AC4">
              <w:rPr>
                <w:b/>
                <w:sz w:val="24"/>
                <w:szCs w:val="24"/>
              </w:rPr>
              <w:t xml:space="preserve"> копеек</w:t>
            </w:r>
            <w:r>
              <w:rPr>
                <w:sz w:val="24"/>
                <w:szCs w:val="24"/>
              </w:rPr>
              <w:t xml:space="preserve">. </w:t>
            </w:r>
            <w:r w:rsidRPr="00C1615B">
              <w:rPr>
                <w:sz w:val="24"/>
                <w:szCs w:val="24"/>
              </w:rPr>
              <w:t>НДС не облагается.</w:t>
            </w:r>
          </w:p>
          <w:p w:rsidR="00004F46"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004F46">
              <w:rPr>
                <w:b/>
                <w:sz w:val="24"/>
                <w:szCs w:val="24"/>
              </w:rPr>
              <w:t>Оформление документа о приемке осуществляется только после предоставления поставщиком обеспечения исполнения гарантийных обязательств</w:t>
            </w:r>
            <w:r w:rsidRPr="00E04F35">
              <w:rPr>
                <w:sz w:val="24"/>
                <w:szCs w:val="24"/>
              </w:rPr>
              <w:t xml:space="preserve"> </w:t>
            </w:r>
            <w:r w:rsidRPr="00004F46">
              <w:rPr>
                <w:b/>
                <w:sz w:val="24"/>
                <w:szCs w:val="24"/>
              </w:rPr>
              <w:t>по контракту.</w:t>
            </w:r>
            <w:r w:rsidRPr="00E04F35">
              <w:rPr>
                <w:sz w:val="24"/>
                <w:szCs w:val="24"/>
              </w:rPr>
              <w:t xml:space="preserve">  </w:t>
            </w:r>
          </w:p>
          <w:p w:rsidR="00004F46" w:rsidRPr="00E04F35" w:rsidRDefault="00004F46" w:rsidP="00004F46">
            <w:pPr>
              <w:pStyle w:val="ConsPlusNormal"/>
              <w:jc w:val="both"/>
              <w:rPr>
                <w:sz w:val="24"/>
                <w:szCs w:val="24"/>
              </w:rPr>
            </w:pPr>
            <w:r w:rsidRPr="00E04F35">
              <w:rPr>
                <w:sz w:val="24"/>
                <w:szCs w:val="24"/>
              </w:rPr>
              <w:t>С</w:t>
            </w:r>
            <w:r w:rsidR="003E2249">
              <w:rPr>
                <w:sz w:val="24"/>
                <w:szCs w:val="24"/>
              </w:rPr>
              <w:t>рок предоставления обеспечения -</w:t>
            </w:r>
            <w:r w:rsidRPr="00E04F35">
              <w:rPr>
                <w:sz w:val="24"/>
                <w:szCs w:val="24"/>
              </w:rPr>
              <w:t xml:space="preserve"> не позднее даты </w:t>
            </w:r>
            <w:r w:rsidR="003E2249">
              <w:rPr>
                <w:sz w:val="24"/>
                <w:szCs w:val="24"/>
              </w:rPr>
              <w:t>приемки</w:t>
            </w:r>
            <w:r w:rsidRPr="00E04F35">
              <w:rPr>
                <w:sz w:val="24"/>
                <w:szCs w:val="24"/>
              </w:rPr>
              <w:t xml:space="preserve"> товара.</w:t>
            </w:r>
          </w:p>
          <w:p w:rsidR="00004F46" w:rsidRPr="00E04F35" w:rsidRDefault="00004F46" w:rsidP="00004F46">
            <w:pPr>
              <w:pStyle w:val="ConsPlusNormal"/>
              <w:jc w:val="both"/>
              <w:rPr>
                <w:sz w:val="24"/>
                <w:szCs w:val="24"/>
              </w:rPr>
            </w:pPr>
          </w:p>
          <w:p w:rsidR="00004F46" w:rsidRPr="003B4304" w:rsidRDefault="00004F46" w:rsidP="00004F46">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Pr>
                <w:i/>
                <w:sz w:val="24"/>
                <w:szCs w:val="24"/>
              </w:rPr>
              <w:t>строительных материалов</w:t>
            </w:r>
            <w:r w:rsidRPr="003B4304">
              <w:rPr>
                <w:i/>
                <w:sz w:val="24"/>
                <w:szCs w:val="24"/>
              </w:rPr>
              <w:t xml:space="preserve"> для нужд </w:t>
            </w:r>
            <w:r>
              <w:rPr>
                <w:i/>
                <w:sz w:val="24"/>
                <w:szCs w:val="24"/>
              </w:rPr>
              <w:t xml:space="preserve">текущего ремонта </w:t>
            </w:r>
            <w:r w:rsidRPr="003B4304">
              <w:rPr>
                <w:i/>
                <w:sz w:val="24"/>
                <w:szCs w:val="24"/>
              </w:rPr>
              <w:t>ИПУ РАН.</w:t>
            </w:r>
          </w:p>
          <w:p w:rsidR="00004F46" w:rsidRPr="00E04F35" w:rsidRDefault="00004F46" w:rsidP="00004F46">
            <w:pPr>
              <w:pStyle w:val="ConsPlusNormal"/>
              <w:jc w:val="both"/>
              <w:rPr>
                <w:sz w:val="24"/>
                <w:szCs w:val="24"/>
              </w:rPr>
            </w:pPr>
          </w:p>
          <w:p w:rsidR="00004F46" w:rsidRPr="009A1F81" w:rsidRDefault="00004F46" w:rsidP="00004F46">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004F46" w:rsidRPr="00E04F35" w:rsidRDefault="00004F46" w:rsidP="00004F46">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Российской академии наук (ИПУ РАН).</w:t>
            </w:r>
          </w:p>
          <w:p w:rsidR="00004F46" w:rsidRPr="00E04F35" w:rsidRDefault="00004F46" w:rsidP="00004F46">
            <w:pPr>
              <w:pStyle w:val="ConsPlusNormal"/>
              <w:jc w:val="both"/>
              <w:rPr>
                <w:sz w:val="24"/>
                <w:szCs w:val="24"/>
              </w:rPr>
            </w:pPr>
            <w:r>
              <w:rPr>
                <w:sz w:val="24"/>
                <w:szCs w:val="24"/>
              </w:rPr>
              <w:t xml:space="preserve">ИНН 7728013512/КПП </w:t>
            </w:r>
            <w:r w:rsidRPr="00E04F35">
              <w:rPr>
                <w:sz w:val="24"/>
                <w:szCs w:val="24"/>
              </w:rPr>
              <w:t xml:space="preserve">772801001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Банковские реквизиты: БИК ТОФК 004525988</w:t>
            </w:r>
          </w:p>
          <w:p w:rsidR="00004F46" w:rsidRPr="00E04F35" w:rsidRDefault="00004F46" w:rsidP="00004F46">
            <w:pPr>
              <w:pStyle w:val="ConsPlusNormal"/>
              <w:jc w:val="both"/>
              <w:rPr>
                <w:sz w:val="24"/>
                <w:szCs w:val="24"/>
              </w:rPr>
            </w:pPr>
            <w:r w:rsidRPr="00E04F35">
              <w:rPr>
                <w:sz w:val="24"/>
                <w:szCs w:val="24"/>
              </w:rPr>
              <w:t xml:space="preserve">ГУ Банка России по ЦФО, УФК по г. Москве  </w:t>
            </w:r>
          </w:p>
          <w:p w:rsidR="00004F46" w:rsidRPr="00E04F35" w:rsidRDefault="00004F46" w:rsidP="00004F46">
            <w:pPr>
              <w:pStyle w:val="ConsPlusNormal"/>
              <w:jc w:val="both"/>
              <w:rPr>
                <w:sz w:val="24"/>
                <w:szCs w:val="24"/>
              </w:rPr>
            </w:pPr>
            <w:r w:rsidRPr="00E04F35">
              <w:rPr>
                <w:sz w:val="24"/>
                <w:szCs w:val="24"/>
              </w:rPr>
              <w:t>Единый казначейский счет 40102810545370000003</w:t>
            </w:r>
          </w:p>
          <w:p w:rsidR="00004F46" w:rsidRPr="00E04F35" w:rsidRDefault="00004F46" w:rsidP="00004F46">
            <w:pPr>
              <w:pStyle w:val="ConsPlusNormal"/>
              <w:jc w:val="both"/>
              <w:rPr>
                <w:sz w:val="24"/>
                <w:szCs w:val="24"/>
              </w:rPr>
            </w:pPr>
            <w:r>
              <w:rPr>
                <w:sz w:val="24"/>
                <w:szCs w:val="24"/>
              </w:rPr>
              <w:t xml:space="preserve">Казначейский счет </w:t>
            </w:r>
            <w:r w:rsidRPr="00E04F35">
              <w:rPr>
                <w:sz w:val="24"/>
                <w:szCs w:val="24"/>
              </w:rPr>
              <w:t>03214643000000017300</w:t>
            </w:r>
          </w:p>
          <w:p w:rsidR="00004F46" w:rsidRPr="00E04F35" w:rsidRDefault="00004F46" w:rsidP="00004F46">
            <w:pPr>
              <w:pStyle w:val="ConsPlusNormal"/>
              <w:jc w:val="both"/>
              <w:rPr>
                <w:sz w:val="24"/>
                <w:szCs w:val="24"/>
              </w:rPr>
            </w:pPr>
            <w:r w:rsidRPr="00E04F35">
              <w:rPr>
                <w:sz w:val="24"/>
                <w:szCs w:val="24"/>
              </w:rPr>
              <w:t>л/с 20736Ц83220.</w:t>
            </w:r>
          </w:p>
          <w:p w:rsidR="00F04309" w:rsidRPr="00137D66" w:rsidRDefault="00004F46" w:rsidP="00004F46">
            <w:pPr>
              <w:pStyle w:val="ConsPlusNormal"/>
              <w:jc w:val="both"/>
              <w:rPr>
                <w:b/>
                <w:i/>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F3B61" w:rsidP="009C7B30">
            <w:pPr>
              <w:pStyle w:val="ConsPlusNormal"/>
              <w:rPr>
                <w:sz w:val="24"/>
                <w:szCs w:val="24"/>
              </w:rPr>
            </w:pPr>
            <w:r w:rsidRPr="00036E09">
              <w:rPr>
                <w:b/>
                <w:sz w:val="24"/>
                <w:szCs w:val="24"/>
              </w:rPr>
              <w:t xml:space="preserve">«___» </w:t>
            </w:r>
            <w:r w:rsidR="000954C3" w:rsidRPr="00036E09">
              <w:rPr>
                <w:b/>
                <w:sz w:val="24"/>
                <w:szCs w:val="24"/>
              </w:rPr>
              <w:t>________</w:t>
            </w:r>
            <w:r w:rsidR="00F04309">
              <w:rPr>
                <w:b/>
                <w:sz w:val="24"/>
                <w:szCs w:val="24"/>
              </w:rPr>
              <w:t xml:space="preserve"> 2023</w:t>
            </w:r>
            <w:r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954C3" w:rsidP="004115C4">
            <w:pPr>
              <w:pStyle w:val="ConsPlusNormal"/>
              <w:rPr>
                <w:b/>
                <w:sz w:val="24"/>
                <w:szCs w:val="24"/>
              </w:rPr>
            </w:pPr>
            <w:r w:rsidRPr="00036E09">
              <w:rPr>
                <w:b/>
                <w:sz w:val="24"/>
                <w:szCs w:val="24"/>
              </w:rPr>
              <w:t>«___» ________</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437235" w:rsidP="004115C4">
            <w:pPr>
              <w:pStyle w:val="ConsPlusNormal"/>
              <w:rPr>
                <w:b/>
                <w:sz w:val="24"/>
                <w:szCs w:val="24"/>
              </w:rPr>
            </w:pPr>
            <w:r w:rsidRPr="00036E09">
              <w:rPr>
                <w:b/>
                <w:sz w:val="24"/>
                <w:szCs w:val="24"/>
              </w:rPr>
              <w:t xml:space="preserve">«___» </w:t>
            </w:r>
            <w:r w:rsidR="000954C3" w:rsidRPr="00036E09">
              <w:rPr>
                <w:b/>
                <w:sz w:val="24"/>
                <w:szCs w:val="24"/>
              </w:rPr>
              <w:t>________</w:t>
            </w:r>
            <w:r w:rsidRPr="00036E09">
              <w:rPr>
                <w:b/>
                <w:sz w:val="24"/>
                <w:szCs w:val="24"/>
              </w:rPr>
              <w:t>202</w:t>
            </w:r>
            <w:r w:rsidR="00F04309">
              <w:rPr>
                <w:b/>
                <w:sz w:val="24"/>
                <w:szCs w:val="24"/>
              </w:rPr>
              <w:t>3</w:t>
            </w:r>
            <w:r w:rsidR="009452F7" w:rsidRPr="00036E09">
              <w:rPr>
                <w:b/>
                <w:sz w:val="24"/>
                <w:szCs w:val="24"/>
              </w:rPr>
              <w:t xml:space="preserve"> </w:t>
            </w:r>
            <w:r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543B8D" w:rsidP="00923AF5">
      <w:pPr>
        <w:spacing w:after="0"/>
        <w:jc w:val="both"/>
        <w:rPr>
          <w:sz w:val="20"/>
          <w:szCs w:val="20"/>
        </w:rPr>
      </w:pPr>
      <w:r>
        <w:rPr>
          <w:sz w:val="20"/>
          <w:szCs w:val="20"/>
        </w:rPr>
        <w:t>Старший</w:t>
      </w:r>
      <w:r w:rsidR="00923AF5" w:rsidRPr="00F04309">
        <w:rPr>
          <w:sz w:val="20"/>
          <w:szCs w:val="20"/>
        </w:rPr>
        <w:t xml:space="preserve"> специалист контрактного отдела</w:t>
      </w:r>
    </w:p>
    <w:p w:rsidR="00923AF5" w:rsidRPr="00F04309" w:rsidRDefault="00543B8D" w:rsidP="00923AF5">
      <w:pPr>
        <w:spacing w:after="0"/>
        <w:jc w:val="both"/>
        <w:rPr>
          <w:sz w:val="20"/>
          <w:szCs w:val="20"/>
        </w:rPr>
      </w:pPr>
      <w:r>
        <w:rPr>
          <w:sz w:val="20"/>
          <w:szCs w:val="20"/>
        </w:rPr>
        <w:t>Е.С</w:t>
      </w:r>
      <w:r w:rsidR="00F04309" w:rsidRPr="00F04309">
        <w:rPr>
          <w:sz w:val="20"/>
          <w:szCs w:val="20"/>
        </w:rPr>
        <w:t xml:space="preserve">. </w:t>
      </w:r>
      <w:proofErr w:type="spellStart"/>
      <w:r>
        <w:rPr>
          <w:sz w:val="20"/>
          <w:szCs w:val="20"/>
        </w:rPr>
        <w:t>Балдина</w:t>
      </w:r>
      <w:proofErr w:type="spellEnd"/>
    </w:p>
    <w:p w:rsidR="00923AF5" w:rsidRPr="00F04309" w:rsidRDefault="00543B8D" w:rsidP="00923AF5">
      <w:pPr>
        <w:spacing w:after="0"/>
        <w:jc w:val="both"/>
        <w:rPr>
          <w:sz w:val="20"/>
          <w:szCs w:val="20"/>
        </w:rPr>
      </w:pPr>
      <w:r>
        <w:rPr>
          <w:sz w:val="20"/>
          <w:szCs w:val="20"/>
        </w:rPr>
        <w:t>84951981720 доб.1653</w:t>
      </w:r>
    </w:p>
    <w:sectPr w:rsidR="00923AF5" w:rsidRPr="00F04309" w:rsidSect="00CC349E">
      <w:footerReference w:type="default" r:id="rId27"/>
      <w:pgSz w:w="11906" w:h="16838"/>
      <w:pgMar w:top="567"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7B77EC">
          <w:rPr>
            <w:noProof/>
            <w:sz w:val="20"/>
            <w:szCs w:val="20"/>
          </w:rPr>
          <w:t>7</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4F46"/>
    <w:rsid w:val="00012A3A"/>
    <w:rsid w:val="000334D1"/>
    <w:rsid w:val="00036E09"/>
    <w:rsid w:val="00041901"/>
    <w:rsid w:val="000451EF"/>
    <w:rsid w:val="00061730"/>
    <w:rsid w:val="00070873"/>
    <w:rsid w:val="00070F13"/>
    <w:rsid w:val="000954C3"/>
    <w:rsid w:val="000A6DAD"/>
    <w:rsid w:val="000B0541"/>
    <w:rsid w:val="000B6819"/>
    <w:rsid w:val="000D7EA3"/>
    <w:rsid w:val="000E39DF"/>
    <w:rsid w:val="000E6264"/>
    <w:rsid w:val="0010152C"/>
    <w:rsid w:val="00114560"/>
    <w:rsid w:val="00121ED9"/>
    <w:rsid w:val="00137D66"/>
    <w:rsid w:val="0014230D"/>
    <w:rsid w:val="00147433"/>
    <w:rsid w:val="001511A4"/>
    <w:rsid w:val="001573B0"/>
    <w:rsid w:val="0016627A"/>
    <w:rsid w:val="00166F57"/>
    <w:rsid w:val="00192D96"/>
    <w:rsid w:val="001A7C0F"/>
    <w:rsid w:val="001C6FEE"/>
    <w:rsid w:val="002003F1"/>
    <w:rsid w:val="002136DD"/>
    <w:rsid w:val="00224402"/>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4304"/>
    <w:rsid w:val="003B60C1"/>
    <w:rsid w:val="003D5B96"/>
    <w:rsid w:val="003E0974"/>
    <w:rsid w:val="003E0CDE"/>
    <w:rsid w:val="003E2249"/>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3B8D"/>
    <w:rsid w:val="00544187"/>
    <w:rsid w:val="00545C11"/>
    <w:rsid w:val="005730A4"/>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6ADB"/>
    <w:rsid w:val="00792C53"/>
    <w:rsid w:val="00797D49"/>
    <w:rsid w:val="007B5C02"/>
    <w:rsid w:val="007B65D7"/>
    <w:rsid w:val="007B77EC"/>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061B8"/>
    <w:rsid w:val="00A13319"/>
    <w:rsid w:val="00A36C69"/>
    <w:rsid w:val="00A56968"/>
    <w:rsid w:val="00A61910"/>
    <w:rsid w:val="00A63F55"/>
    <w:rsid w:val="00AA0969"/>
    <w:rsid w:val="00AA6E34"/>
    <w:rsid w:val="00AB06B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49E"/>
    <w:rsid w:val="00CC3DF1"/>
    <w:rsid w:val="00CC40A8"/>
    <w:rsid w:val="00CD6FD8"/>
    <w:rsid w:val="00CD7A15"/>
    <w:rsid w:val="00CF3B61"/>
    <w:rsid w:val="00D16C37"/>
    <w:rsid w:val="00D2151A"/>
    <w:rsid w:val="00D57F14"/>
    <w:rsid w:val="00D7101B"/>
    <w:rsid w:val="00D80998"/>
    <w:rsid w:val="00D95374"/>
    <w:rsid w:val="00DA13D7"/>
    <w:rsid w:val="00DB05F7"/>
    <w:rsid w:val="00DB0DC6"/>
    <w:rsid w:val="00DD212D"/>
    <w:rsid w:val="00DD3572"/>
    <w:rsid w:val="00DE108D"/>
    <w:rsid w:val="00DE4098"/>
    <w:rsid w:val="00E04F35"/>
    <w:rsid w:val="00E133D3"/>
    <w:rsid w:val="00E3396B"/>
    <w:rsid w:val="00E46724"/>
    <w:rsid w:val="00E47492"/>
    <w:rsid w:val="00E63A04"/>
    <w:rsid w:val="00E6422F"/>
    <w:rsid w:val="00E67396"/>
    <w:rsid w:val="00E95912"/>
    <w:rsid w:val="00EA5440"/>
    <w:rsid w:val="00EA6B31"/>
    <w:rsid w:val="00EC798E"/>
    <w:rsid w:val="00ED264A"/>
    <w:rsid w:val="00F018E4"/>
    <w:rsid w:val="00F04309"/>
    <w:rsid w:val="00F1792C"/>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8321-97AC-48E9-A522-EAD64F19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23</cp:revision>
  <cp:lastPrinted>2023-04-18T10:49:00Z</cp:lastPrinted>
  <dcterms:created xsi:type="dcterms:W3CDTF">2022-05-19T13:32:00Z</dcterms:created>
  <dcterms:modified xsi:type="dcterms:W3CDTF">2023-04-18T10:49:00Z</dcterms:modified>
</cp:coreProperties>
</file>