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A768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A768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B31C88">
        <w:rPr>
          <w:rFonts w:asciiTheme="minorHAnsi" w:hAnsiTheme="minorHAnsi" w:cstheme="minorHAnsi"/>
          <w:sz w:val="24"/>
          <w:szCs w:val="24"/>
        </w:rPr>
        <w:t>электротехнических материалов</w:t>
      </w:r>
      <w:r w:rsidRPr="004A768E">
        <w:rPr>
          <w:rFonts w:asciiTheme="minorHAnsi" w:hAnsiTheme="minorHAnsi" w:cstheme="minorHAnsi"/>
          <w:sz w:val="24"/>
          <w:szCs w:val="24"/>
        </w:rPr>
        <w:t xml:space="preserve">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B31C88">
        <w:rPr>
          <w:rFonts w:hAnsi="Times New Roman" w:cs="Times New Roman"/>
          <w:b/>
          <w:bCs/>
          <w:color w:val="000000"/>
          <w:sz w:val="24"/>
          <w:szCs w:val="24"/>
          <w:lang w:val="ru-RU"/>
        </w:rPr>
        <w:t>электротехнических материалов</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0C1943" w:rsidTr="000C1943">
        <w:trPr>
          <w:trHeight w:val="232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CB4B75" w:rsidRPr="00CB4B75">
              <w:rPr>
                <w:rFonts w:ascii="Times New Roman" w:eastAsia="Times New Roman" w:hAnsi="Times New Roman" w:cs="Times New Roman"/>
                <w:b/>
                <w:sz w:val="24"/>
                <w:szCs w:val="24"/>
                <w:lang w:val="ru-RU" w:eastAsia="ru-RU"/>
              </w:rPr>
              <w:t>10 % от начальной (максимальной) цены Конт</w:t>
            </w:r>
            <w:r w:rsidR="00CB4B75">
              <w:rPr>
                <w:rFonts w:ascii="Times New Roman" w:eastAsia="Times New Roman" w:hAnsi="Times New Roman" w:cs="Times New Roman"/>
                <w:b/>
                <w:sz w:val="24"/>
                <w:szCs w:val="24"/>
                <w:lang w:val="ru-RU" w:eastAsia="ru-RU"/>
              </w:rPr>
              <w:t xml:space="preserve">ракта, </w:t>
            </w:r>
            <w:r w:rsidR="00CB4B75" w:rsidRPr="00CB4B75">
              <w:rPr>
                <w:rFonts w:ascii="Times New Roman" w:eastAsia="Times New Roman" w:hAnsi="Times New Roman" w:cs="Times New Roman"/>
                <w:sz w:val="24"/>
                <w:szCs w:val="24"/>
                <w:lang w:val="ru-RU" w:eastAsia="ru-RU"/>
              </w:rPr>
              <w:t>что составляет</w:t>
            </w:r>
            <w:r w:rsidR="00CB4B75">
              <w:rPr>
                <w:rFonts w:ascii="Times New Roman" w:eastAsia="Times New Roman" w:hAnsi="Times New Roman" w:cs="Times New Roman"/>
                <w:b/>
                <w:sz w:val="24"/>
                <w:szCs w:val="24"/>
                <w:lang w:val="ru-RU" w:eastAsia="ru-RU"/>
              </w:rPr>
              <w:t xml:space="preserve"> </w:t>
            </w:r>
            <w:r w:rsidR="00CB4B75" w:rsidRPr="00CB4B75">
              <w:rPr>
                <w:rFonts w:ascii="Times New Roman" w:eastAsia="Times New Roman" w:hAnsi="Times New Roman" w:cs="Times New Roman"/>
                <w:b/>
                <w:sz w:val="24"/>
                <w:szCs w:val="24"/>
                <w:lang w:val="ru-RU" w:eastAsia="ru-RU"/>
              </w:rPr>
              <w:t>7 181 (Семь тысяч</w:t>
            </w:r>
            <w:r w:rsidR="00CB4B75">
              <w:rPr>
                <w:rFonts w:ascii="Times New Roman" w:eastAsia="Times New Roman" w:hAnsi="Times New Roman" w:cs="Times New Roman"/>
                <w:b/>
                <w:sz w:val="24"/>
                <w:szCs w:val="24"/>
                <w:lang w:val="ru-RU" w:eastAsia="ru-RU"/>
              </w:rPr>
              <w:t xml:space="preserve"> сто восемьдесят один) рубль </w:t>
            </w:r>
            <w:r w:rsidR="00CB4B75" w:rsidRPr="00CB4B75">
              <w:rPr>
                <w:rFonts w:ascii="Times New Roman" w:eastAsia="Times New Roman" w:hAnsi="Times New Roman" w:cs="Times New Roman"/>
                <w:b/>
                <w:sz w:val="24"/>
                <w:szCs w:val="24"/>
                <w:lang w:val="ru-RU" w:eastAsia="ru-RU"/>
              </w:rPr>
              <w:t xml:space="preserve">21 копейка. </w:t>
            </w:r>
            <w:r w:rsidR="00CB4B75" w:rsidRPr="00CB4B75">
              <w:rPr>
                <w:rFonts w:ascii="Times New Roman" w:eastAsia="Times New Roman" w:hAnsi="Times New Roman" w:cs="Times New Roman"/>
                <w:sz w:val="24"/>
                <w:szCs w:val="24"/>
                <w:lang w:val="ru-RU" w:eastAsia="ru-RU"/>
              </w:rPr>
              <w:t>НДС не облагается.</w:t>
            </w:r>
          </w:p>
          <w:p w:rsidR="0086510C" w:rsidRPr="003343B9" w:rsidRDefault="0086510C" w:rsidP="0086510C">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86510C" w:rsidRPr="00B5467D"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86510C" w:rsidRPr="00B5467D" w:rsidRDefault="0086510C" w:rsidP="0086510C">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86510C" w:rsidRPr="001776F0"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B0649E"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4C6497"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86510C" w:rsidRPr="003343B9"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w:t>
            </w:r>
            <w:r w:rsidR="004609BD">
              <w:rPr>
                <w:rFonts w:ascii="Times New Roman" w:eastAsia="Calibri" w:hAnsi="Times New Roman" w:cs="Times New Roman"/>
                <w:sz w:val="24"/>
                <w:szCs w:val="24"/>
                <w:lang w:val="ru-RU"/>
              </w:rPr>
              <w:t xml:space="preserve"> (</w:t>
            </w:r>
            <w:r w:rsidR="004609BD" w:rsidRPr="004609BD">
              <w:rPr>
                <w:rFonts w:ascii="Times New Roman" w:eastAsia="Calibri" w:hAnsi="Times New Roman" w:cs="Times New Roman"/>
                <w:sz w:val="24"/>
                <w:szCs w:val="24"/>
                <w:lang w:val="ru-RU"/>
              </w:rPr>
              <w:t xml:space="preserve">Постановление Правительства Российской Федерации от 20 декабря 2021 г. </w:t>
            </w:r>
            <w:r w:rsidR="004609BD">
              <w:rPr>
                <w:rFonts w:ascii="Times New Roman" w:eastAsia="Calibri" w:hAnsi="Times New Roman" w:cs="Times New Roman"/>
                <w:sz w:val="24"/>
                <w:szCs w:val="24"/>
                <w:lang w:val="ru-RU"/>
              </w:rPr>
              <w:t xml:space="preserve">     </w:t>
            </w:r>
            <w:r w:rsidR="004609BD" w:rsidRPr="004609B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3E62F3" w:rsidRDefault="0086510C" w:rsidP="0086510C">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86510C" w:rsidRPr="00574CAE"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86510C" w:rsidRPr="003E62F3"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86510C" w:rsidRPr="00B5467D"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65679D"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w:t>
            </w:r>
            <w:r w:rsidR="0065679D" w:rsidRPr="00645D4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9" w:history="1">
              <w:r w:rsidR="0065679D" w:rsidRPr="00645D48">
                <w:rPr>
                  <w:rStyle w:val="af8"/>
                  <w:rFonts w:ascii="Times New Roman" w:eastAsia="Calibri" w:hAnsi="Times New Roman" w:cs="Times New Roman"/>
                  <w:iCs/>
                  <w:color w:val="auto"/>
                  <w:sz w:val="24"/>
                  <w:szCs w:val="24"/>
                  <w:u w:val="none"/>
                  <w:lang w:val="ru-RU"/>
                </w:rPr>
                <w:t>статьей 44</w:t>
              </w:r>
            </w:hyperlink>
            <w:r w:rsidR="0065679D"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65679D" w:rsidRPr="00645D48">
                <w:rPr>
                  <w:rStyle w:val="af8"/>
                  <w:rFonts w:ascii="Times New Roman" w:eastAsia="Calibri" w:hAnsi="Times New Roman" w:cs="Times New Roman"/>
                  <w:iCs/>
                  <w:color w:val="auto"/>
                  <w:sz w:val="24"/>
                  <w:szCs w:val="24"/>
                  <w:u w:val="none"/>
                  <w:lang w:val="ru-RU"/>
                </w:rPr>
                <w:t>статьей 96</w:t>
              </w:r>
            </w:hyperlink>
            <w:r w:rsidR="0065679D"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BD4626"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86510C" w:rsidRPr="00B5467D" w:rsidRDefault="0086510C" w:rsidP="0086510C">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10C" w:rsidRPr="000C1943" w:rsidRDefault="0086510C" w:rsidP="000C194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B31C8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B31C88"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предусмотрено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B31C88">
      <w:footerReference w:type="even" r:id="rId11"/>
      <w:footerReference w:type="default" r:id="rId12"/>
      <w:headerReference w:type="first" r:id="rId13"/>
      <w:pgSz w:w="11900" w:h="16820"/>
      <w:pgMar w:top="907" w:right="737" w:bottom="426"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0C1943" w:rsidRPr="000C1943">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1943"/>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9BD"/>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B4B75"/>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2D39"/>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C5A8-2DC5-4692-BA10-3B8A9F24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16</cp:revision>
  <cp:lastPrinted>2023-03-31T09:22:00Z</cp:lastPrinted>
  <dcterms:created xsi:type="dcterms:W3CDTF">2022-05-20T09:00:00Z</dcterms:created>
  <dcterms:modified xsi:type="dcterms:W3CDTF">2023-03-31T09:23:00Z</dcterms:modified>
</cp:coreProperties>
</file>