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B6D1F" w14:textId="77777777" w:rsidR="008559EF" w:rsidRPr="004A768E" w:rsidRDefault="00412DE2" w:rsidP="0053017B">
      <w:pPr>
        <w:spacing w:before="0" w:beforeAutospacing="0" w:after="0" w:afterAutospacing="0"/>
        <w:ind w:left="581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14:paraId="7F8608E3" w14:textId="77777777" w:rsidR="004A768E" w:rsidRDefault="00DF0FF3" w:rsidP="0053017B">
      <w:pPr>
        <w:pStyle w:val="ConsPlusNormal"/>
        <w:ind w:left="5812"/>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14:paraId="540FE95F" w14:textId="77777777" w:rsidR="00BD2335" w:rsidRDefault="004A768E" w:rsidP="0053017B">
      <w:pPr>
        <w:pStyle w:val="ConsPlusNormal"/>
        <w:ind w:left="5812"/>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14:paraId="0178B390" w14:textId="150A4BE2" w:rsidR="00747BE6" w:rsidRPr="00FA3A95" w:rsidRDefault="004A768E" w:rsidP="0053017B">
      <w:pPr>
        <w:pStyle w:val="ConsPlusNormal"/>
        <w:ind w:left="5812"/>
        <w:rPr>
          <w:rFonts w:asciiTheme="minorHAnsi" w:hAnsiTheme="minorHAnsi" w:cstheme="minorHAnsi"/>
          <w:sz w:val="24"/>
          <w:szCs w:val="24"/>
        </w:rPr>
      </w:pPr>
      <w:r w:rsidRPr="00BD2335">
        <w:rPr>
          <w:rFonts w:asciiTheme="minorHAnsi" w:hAnsiTheme="minorHAnsi" w:cstheme="minorHAnsi"/>
          <w:sz w:val="24"/>
          <w:szCs w:val="24"/>
        </w:rPr>
        <w:t xml:space="preserve">на поставку </w:t>
      </w:r>
      <w:r w:rsidR="00D679A8">
        <w:rPr>
          <w:rFonts w:ascii="Times New Roman" w:eastAsia="Calibri" w:hAnsi="Times New Roman" w:cs="Times New Roman"/>
          <w:sz w:val="24"/>
          <w:szCs w:val="26"/>
          <w:lang w:eastAsia="ar-SA"/>
        </w:rPr>
        <w:t>кондиционеров</w:t>
      </w:r>
      <w:r w:rsidR="0053017B" w:rsidRPr="0053017B">
        <w:rPr>
          <w:rFonts w:ascii="Times New Roman" w:eastAsia="Calibri" w:hAnsi="Times New Roman" w:cs="Times New Roman"/>
          <w:sz w:val="24"/>
          <w:szCs w:val="26"/>
          <w:lang w:eastAsia="ar-SA"/>
        </w:rPr>
        <w:t xml:space="preserve"> для нужд ИПУ РАН</w:t>
      </w:r>
    </w:p>
    <w:p w14:paraId="0E8D4AD2" w14:textId="77777777" w:rsidR="00BD2335" w:rsidRPr="004A768E" w:rsidRDefault="00BD2335" w:rsidP="00BD2335">
      <w:pPr>
        <w:pStyle w:val="ConsPlusNormal"/>
        <w:ind w:firstLine="5103"/>
        <w:rPr>
          <w:rFonts w:asciiTheme="minorHAnsi" w:hAnsiTheme="minorHAnsi" w:cstheme="minorHAnsi"/>
          <w:sz w:val="24"/>
          <w:szCs w:val="24"/>
        </w:rPr>
      </w:pPr>
    </w:p>
    <w:p w14:paraId="0C050F9C" w14:textId="39347CCF" w:rsidR="0053017B" w:rsidRDefault="0053017B" w:rsidP="000C5A29">
      <w:pPr>
        <w:spacing w:before="0" w:beforeAutospacing="0" w:after="0" w:afterAutospacing="0"/>
        <w:jc w:val="center"/>
        <w:rPr>
          <w:rFonts w:hAnsi="Times New Roman" w:cs="Times New Roman"/>
          <w:b/>
          <w:bCs/>
          <w:color w:val="000000"/>
          <w:sz w:val="24"/>
          <w:szCs w:val="24"/>
          <w:lang w:val="ru-RU"/>
        </w:rPr>
      </w:pPr>
    </w:p>
    <w:p w14:paraId="2DA4E053" w14:textId="77777777" w:rsidR="0053017B" w:rsidRDefault="0053017B" w:rsidP="000C5A29">
      <w:pPr>
        <w:spacing w:before="0" w:beforeAutospacing="0" w:after="0" w:afterAutospacing="0"/>
        <w:jc w:val="center"/>
        <w:rPr>
          <w:rFonts w:hAnsi="Times New Roman" w:cs="Times New Roman"/>
          <w:b/>
          <w:bCs/>
          <w:color w:val="000000"/>
          <w:sz w:val="24"/>
          <w:szCs w:val="24"/>
          <w:lang w:val="ru-RU"/>
        </w:rPr>
      </w:pPr>
    </w:p>
    <w:p w14:paraId="5D7C13E9" w14:textId="35795D82"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14:paraId="7C14AAC5" w14:textId="77777777" w:rsidR="004A768E" w:rsidRDefault="004A768E" w:rsidP="000C5A29">
      <w:pPr>
        <w:spacing w:before="0" w:beforeAutospacing="0" w:after="0" w:afterAutospacing="0"/>
        <w:jc w:val="center"/>
        <w:rPr>
          <w:rFonts w:hAnsi="Times New Roman" w:cs="Times New Roman"/>
          <w:bCs/>
          <w:color w:val="000000"/>
          <w:sz w:val="24"/>
          <w:szCs w:val="24"/>
          <w:lang w:val="ru-RU"/>
        </w:rPr>
      </w:pPr>
    </w:p>
    <w:p w14:paraId="3FE836E9" w14:textId="77777777"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14:paraId="4A8F5F7C" w14:textId="19342530" w:rsidR="004A768E" w:rsidRPr="00FA3A95"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на </w:t>
      </w:r>
      <w:r w:rsidR="00747BE6" w:rsidRPr="00747BE6">
        <w:rPr>
          <w:rFonts w:hAnsi="Times New Roman" w:cs="Times New Roman"/>
          <w:bCs/>
          <w:color w:val="000000"/>
          <w:sz w:val="24"/>
          <w:szCs w:val="24"/>
          <w:lang w:val="ru-RU"/>
        </w:rPr>
        <w:t>поставку</w:t>
      </w:r>
      <w:r w:rsidR="00747BE6">
        <w:rPr>
          <w:rFonts w:hAnsi="Times New Roman" w:cs="Times New Roman"/>
          <w:bCs/>
          <w:color w:val="000000"/>
          <w:sz w:val="24"/>
          <w:szCs w:val="24"/>
          <w:lang w:val="ru-RU"/>
        </w:rPr>
        <w:t xml:space="preserve"> </w:t>
      </w:r>
      <w:r w:rsidR="00D679A8">
        <w:rPr>
          <w:rFonts w:hAnsi="Times New Roman" w:cs="Times New Roman"/>
          <w:bCs/>
          <w:color w:val="000000"/>
          <w:sz w:val="24"/>
          <w:szCs w:val="24"/>
          <w:lang w:val="ru-RU"/>
        </w:rPr>
        <w:t>кондиционеров</w:t>
      </w:r>
      <w:r w:rsidR="006857F4" w:rsidRPr="006857F4">
        <w:rPr>
          <w:rFonts w:hAnsi="Times New Roman" w:cs="Times New Roman"/>
          <w:bCs/>
          <w:color w:val="000000"/>
          <w:sz w:val="24"/>
          <w:szCs w:val="24"/>
          <w:lang w:val="ru-RU"/>
        </w:rPr>
        <w:t xml:space="preserve"> </w:t>
      </w:r>
      <w:r w:rsidR="0053017B" w:rsidRPr="0053017B">
        <w:rPr>
          <w:rFonts w:hAnsi="Times New Roman" w:cs="Times New Roman"/>
          <w:bCs/>
          <w:color w:val="000000"/>
          <w:sz w:val="24"/>
          <w:szCs w:val="24"/>
          <w:lang w:val="ru-RU"/>
        </w:rPr>
        <w:t>для нужд ИПУ РАН</w:t>
      </w:r>
    </w:p>
    <w:p w14:paraId="794F05E3" w14:textId="77777777"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3804"/>
        <w:gridCol w:w="5812"/>
      </w:tblGrid>
      <w:tr w:rsidR="00D75D24" w:rsidRPr="0069528D" w14:paraId="3B01276F" w14:textId="77777777" w:rsidTr="00134133">
        <w:trPr>
          <w:trHeight w:val="1423"/>
        </w:trPr>
        <w:tc>
          <w:tcPr>
            <w:tcW w:w="591" w:type="dxa"/>
            <w:tcBorders>
              <w:top w:val="single" w:sz="6" w:space="0" w:color="000000"/>
              <w:left w:val="single" w:sz="6" w:space="0" w:color="000000"/>
              <w:bottom w:val="single" w:sz="6" w:space="0" w:color="000000"/>
              <w:right w:val="single" w:sz="6" w:space="0" w:color="000000"/>
            </w:tcBorders>
          </w:tcPr>
          <w:p w14:paraId="67A1E09B"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327FFC" w14:textId="77777777"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4D30B" w14:textId="77777777"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6C5CA6" w14:paraId="32E8EDC9" w14:textId="77777777" w:rsidTr="0053017B">
        <w:tc>
          <w:tcPr>
            <w:tcW w:w="591" w:type="dxa"/>
            <w:tcBorders>
              <w:top w:val="single" w:sz="6" w:space="0" w:color="000000"/>
              <w:left w:val="single" w:sz="6" w:space="0" w:color="000000"/>
              <w:bottom w:val="single" w:sz="6" w:space="0" w:color="000000"/>
              <w:right w:val="single" w:sz="6" w:space="0" w:color="000000"/>
            </w:tcBorders>
          </w:tcPr>
          <w:p w14:paraId="3652B061"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55806" w14:textId="77777777"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4EAF68" w14:textId="77777777"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14:paraId="4DABD85C" w14:textId="77777777"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14:paraId="5498285F" w14:textId="3E6F6CBF" w:rsidR="00747BE6" w:rsidRPr="00F20791"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 xml:space="preserve">*В случае заключения контракта по результатам определения поставщика (подрядчика, исполнителя)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в соответствии с пунктом 1 части 1 статьи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44-ФЗ от цены контракта, по которой заключается контракт.</w:t>
            </w:r>
          </w:p>
          <w:p w14:paraId="6C51B461" w14:textId="77777777"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14:paraId="1581CE59" w14:textId="53ABB107"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14:paraId="2FD5EF65" w14:textId="1B1B1B50"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от начальной (максимальной) цены контракта или от </w:t>
            </w:r>
            <w:r w:rsidRPr="00F96D55">
              <w:rPr>
                <w:rFonts w:ascii="Times New Roman" w:eastAsia="Calibri" w:hAnsi="Times New Roman" w:cs="Times New Roman"/>
                <w:sz w:val="24"/>
                <w:szCs w:val="24"/>
                <w:lang w:val="ru-RU"/>
              </w:rPr>
              <w:lastRenderedPageBreak/>
              <w:t xml:space="preserve">цены заключаемого контракта (если контракт заключается по результатам определения поставщика (подрядчика, исполнителя) в соответствии с пунктом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1 части 1 статьи 30 Федерального закона № 44-ФЗ)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извещении об осуществлении закупки.</w:t>
            </w:r>
          </w:p>
          <w:p w14:paraId="3D4DBEF9" w14:textId="79F3829B"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14:paraId="6AA422A8" w14:textId="77777777"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35D27CD2" w14:textId="77777777"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670B4C71" w14:textId="77777777"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3780882F" w14:textId="4CB8DC62"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требованиями Федерального закона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том числе в случае его изменения в соответствии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14:paraId="58F53396" w14:textId="77777777"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51C8EA6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14:paraId="23D4E38F"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w:t>
            </w:r>
            <w:r w:rsidRPr="00B5467D">
              <w:rPr>
                <w:rFonts w:ascii="Times New Roman" w:eastAsia="Times New Roman" w:hAnsi="Times New Roman" w:cs="Times New Roman"/>
                <w:sz w:val="24"/>
                <w:szCs w:val="24"/>
                <w:lang w:val="ru-RU" w:eastAsia="ru-RU"/>
              </w:rPr>
              <w:lastRenderedPageBreak/>
              <w:t>средств на счет заказчика.</w:t>
            </w:r>
          </w:p>
          <w:p w14:paraId="392AA7A3"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346DE50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14:paraId="76F7AB42"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1671F6E5"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2D1962A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14:paraId="41EB0BC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14:paraId="7130442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14:paraId="63B2C0F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14:paraId="5BA0A94D"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14:paraId="3D8BE15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14:paraId="3A4F9AF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14:paraId="1AF80A70" w14:textId="66B641B1" w:rsidR="00747BE6" w:rsidRPr="004F54AC"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0"/>
                <w:szCs w:val="20"/>
                <w:lang w:val="ru-RU" w:eastAsia="ru-RU"/>
              </w:rPr>
            </w:pPr>
            <w:r w:rsidRPr="00B5467D">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t xml:space="preserve">     </w:t>
            </w:r>
            <w:r w:rsidRPr="004F54AC">
              <w:rPr>
                <w:rFonts w:ascii="Times New Roman" w:eastAsia="Times New Roman" w:hAnsi="Times New Roman" w:cs="Times New Roman"/>
                <w:sz w:val="20"/>
                <w:szCs w:val="20"/>
                <w:lang w:val="ru-RU" w:eastAsia="ru-RU"/>
              </w:rPr>
              <w:t>(указывается предмет аукциона)</w:t>
            </w:r>
          </w:p>
          <w:p w14:paraId="38B519F8"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14:paraId="63E03A6C" w14:textId="77777777" w:rsidR="004F54AC" w:rsidRDefault="004F54AC"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14:paraId="16B20A2D" w14:textId="6AEB6721"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14:paraId="473D13F9" w14:textId="77777777" w:rsidR="00747BE6" w:rsidRPr="00B5467D" w:rsidRDefault="00747BE6" w:rsidP="004F54AC">
            <w:pPr>
              <w:widowControl w:val="0"/>
              <w:suppressAutoHyphens/>
              <w:autoSpaceDE w:val="0"/>
              <w:autoSpaceDN w:val="0"/>
              <w:adjustRightInd w:val="0"/>
              <w:spacing w:before="0" w:beforeAutospacing="0" w:after="0" w:afterAutospacing="0"/>
              <w:ind w:right="11" w:firstLine="486"/>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14:paraId="0D341712" w14:textId="5A0DDE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14:paraId="2265B853" w14:textId="77777777"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14:paraId="335D1721" w14:textId="22988F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 xml:space="preserve">едерации от 20.12.2021 № 2369 </w:t>
            </w:r>
            <w:r w:rsidR="004F54AC">
              <w:rPr>
                <w:rFonts w:ascii="Times New Roman" w:eastAsia="Calibri" w:hAnsi="Times New Roman" w:cs="Times New Roman"/>
                <w:sz w:val="24"/>
                <w:szCs w:val="24"/>
                <w:lang w:val="ru-RU"/>
              </w:rPr>
              <w:br/>
            </w:r>
            <w:r>
              <w:rPr>
                <w:rFonts w:ascii="Times New Roman" w:eastAsia="Calibri" w:hAnsi="Times New Roman" w:cs="Times New Roman"/>
                <w:sz w:val="24"/>
                <w:szCs w:val="24"/>
                <w:lang w:val="ru-RU"/>
              </w:rPr>
              <w:t>«</w:t>
            </w:r>
            <w:r w:rsidRPr="00520676">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w:t>
            </w:r>
            <w:r w:rsidR="004F54AC">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lastRenderedPageBreak/>
              <w:t>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14:paraId="154D11B3" w14:textId="51D3CA28"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8ACC928" w14:textId="77777777"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14:paraId="27ADE829" w14:textId="1F37FA03"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4F54AC">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за исключением независимых гарантий, указанных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14:paraId="55B0448F" w14:textId="417EF977"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004F54AC">
              <w:rPr>
                <w:rFonts w:ascii="Times New Roman" w:eastAsia="Calibri" w:hAnsi="Times New Roman" w:cs="Times New Roman"/>
                <w:iCs/>
                <w:sz w:val="24"/>
                <w:szCs w:val="24"/>
                <w:lang w:val="ru-RU"/>
              </w:rPr>
              <w:br/>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14:paraId="66430FB8" w14:textId="6A97E240"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 xml:space="preserve">статьей </w:t>
              </w:r>
              <w:r w:rsidR="004F54AC">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14:paraId="35BEE3A8"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77306764" w14:textId="3F3522CC"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w:t>
            </w:r>
            <w:r w:rsidR="004F54AC">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16FB4C7C" w14:textId="7484BA68"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со средствами, поступающими заказчику;</w:t>
            </w:r>
          </w:p>
          <w:p w14:paraId="41B1ECEA"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61DAABDE" w14:textId="77777777"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D003BD7" w14:textId="7129AC81"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об осуществлении уплаты денежно</w:t>
            </w:r>
            <w:r>
              <w:rPr>
                <w:rFonts w:ascii="Times New Roman" w:eastAsia="Calibri" w:hAnsi="Times New Roman" w:cs="Times New Roman"/>
                <w:iCs/>
                <w:sz w:val="24"/>
                <w:szCs w:val="24"/>
                <w:lang w:val="ru-RU"/>
              </w:rPr>
              <w:t xml:space="preserve">й суммы </w:t>
            </w:r>
            <w:r w:rsidR="004F54AC">
              <w:rPr>
                <w:rFonts w:ascii="Times New Roman" w:eastAsia="Calibri" w:hAnsi="Times New Roman" w:cs="Times New Roman"/>
                <w:iCs/>
                <w:sz w:val="24"/>
                <w:szCs w:val="24"/>
                <w:lang w:val="ru-RU"/>
              </w:rPr>
              <w:br/>
            </w:r>
            <w:r>
              <w:rPr>
                <w:rFonts w:ascii="Times New Roman" w:eastAsia="Calibri" w:hAnsi="Times New Roman" w:cs="Times New Roman"/>
                <w:iCs/>
                <w:sz w:val="24"/>
                <w:szCs w:val="24"/>
                <w:lang w:val="ru-RU"/>
              </w:rPr>
              <w:t>по независимой гарантии;</w:t>
            </w:r>
            <w:r w:rsidRPr="00B5467D">
              <w:rPr>
                <w:rFonts w:ascii="Times New Roman" w:eastAsia="Calibri" w:hAnsi="Times New Roman" w:cs="Times New Roman"/>
                <w:iCs/>
                <w:sz w:val="24"/>
                <w:szCs w:val="24"/>
                <w:lang w:val="ru-RU"/>
              </w:rPr>
              <w:t xml:space="preserve"> </w:t>
            </w:r>
          </w:p>
          <w:p w14:paraId="2D0478EE" w14:textId="77777777"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14:paraId="1FA0036D" w14:textId="6E512B1E"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14:paraId="58B03294" w14:textId="5FCFA35D"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w:t>
            </w:r>
            <w:r w:rsidR="004F54AC">
              <w:rPr>
                <w:rFonts w:ascii="Times New Roman" w:eastAsia="Times New Roman" w:hAnsi="Times New Roman" w:cs="Times New Roman"/>
                <w:sz w:val="24"/>
                <w:szCs w:val="24"/>
                <w:lang w:val="ru-RU" w:eastAsia="ru-RU"/>
              </w:rPr>
              <w:br/>
            </w:r>
            <w:r w:rsidRPr="000D02DE">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C88FD3B" w14:textId="259501AA"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w:t>
            </w:r>
            <w:r w:rsidR="004F54AC">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в извещении об осуществлении закупки и документации о закупке.</w:t>
            </w:r>
          </w:p>
          <w:p w14:paraId="7A914AA1" w14:textId="606D9BFD" w:rsidR="00EF6757" w:rsidRPr="002B28F3" w:rsidRDefault="00EF6757"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Pr>
                <w:rFonts w:ascii="Times New Roman" w:eastAsia="Times New Roman" w:hAnsi="Times New Roman" w:cs="Times New Roman"/>
                <w:sz w:val="24"/>
                <w:szCs w:val="24"/>
                <w:lang w:val="ru-RU" w:eastAsia="ru-RU"/>
              </w:rPr>
              <w:t xml:space="preserve">ии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с Федеральным законом № 44-ФЗ</w:t>
            </w:r>
            <w:r w:rsidR="009A6EF7">
              <w:rPr>
                <w:rFonts w:ascii="Times New Roman" w:eastAsia="Times New Roman" w:hAnsi="Times New Roman" w:cs="Times New Roman"/>
                <w:sz w:val="24"/>
                <w:szCs w:val="24"/>
                <w:lang w:val="ru-RU" w:eastAsia="ru-RU"/>
              </w:rPr>
              <w:t>.</w:t>
            </w:r>
          </w:p>
        </w:tc>
      </w:tr>
      <w:tr w:rsidR="00747BE6" w:rsidRPr="006C5CA6" w14:paraId="7DFA0040" w14:textId="77777777" w:rsidTr="0053017B">
        <w:trPr>
          <w:trHeight w:val="338"/>
        </w:trPr>
        <w:tc>
          <w:tcPr>
            <w:tcW w:w="591" w:type="dxa"/>
            <w:tcBorders>
              <w:top w:val="single" w:sz="6" w:space="0" w:color="000000"/>
              <w:left w:val="single" w:sz="6" w:space="0" w:color="000000"/>
              <w:bottom w:val="single" w:sz="6" w:space="0" w:color="000000"/>
              <w:right w:val="single" w:sz="6" w:space="0" w:color="000000"/>
            </w:tcBorders>
          </w:tcPr>
          <w:p w14:paraId="2CF7160E"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5EF5B" w14:textId="77777777" w:rsidR="00747BE6" w:rsidRPr="00BD4C45" w:rsidRDefault="00747BE6" w:rsidP="004F54AC">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97C346"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b/>
                <w:sz w:val="24"/>
                <w:szCs w:val="24"/>
                <w:lang w:val="ru-RU" w:eastAsia="ru-RU"/>
              </w:rPr>
            </w:pPr>
            <w:r w:rsidRPr="006C5CA6">
              <w:rPr>
                <w:rFonts w:ascii="Times New Roman" w:hAnsi="Times New Roman" w:cs="Times New Roman"/>
                <w:sz w:val="24"/>
                <w:szCs w:val="24"/>
                <w:lang w:val="ru-RU" w:eastAsia="ru-RU"/>
              </w:rPr>
              <w:t>Обеспечение гарантийных обязательств предусмотрено в следующем размере:</w:t>
            </w:r>
            <w:r w:rsidRPr="006C5CA6">
              <w:rPr>
                <w:rFonts w:ascii="Times New Roman" w:hAnsi="Times New Roman" w:cs="Times New Roman"/>
                <w:b/>
                <w:sz w:val="24"/>
                <w:szCs w:val="24"/>
                <w:lang w:val="ru-RU" w:eastAsia="ru-RU"/>
              </w:rPr>
              <w:t xml:space="preserve"> 5 % от начальной (максимальной) цены контракта, </w:t>
            </w:r>
            <w:r w:rsidRPr="006C5CA6">
              <w:rPr>
                <w:rFonts w:ascii="Times New Roman" w:hAnsi="Times New Roman" w:cs="Times New Roman"/>
                <w:sz w:val="24"/>
                <w:szCs w:val="24"/>
                <w:lang w:val="ru-RU" w:eastAsia="ru-RU"/>
              </w:rPr>
              <w:t>что составляет</w:t>
            </w:r>
            <w:r w:rsidRPr="006C5CA6">
              <w:rPr>
                <w:rFonts w:ascii="Times New Roman" w:hAnsi="Times New Roman" w:cs="Times New Roman"/>
                <w:b/>
                <w:sz w:val="24"/>
                <w:szCs w:val="24"/>
                <w:lang w:val="ru-RU" w:eastAsia="ru-RU"/>
              </w:rPr>
              <w:t xml:space="preserve"> 74 576 </w:t>
            </w:r>
            <w:r w:rsidRPr="006C5CA6">
              <w:rPr>
                <w:rFonts w:ascii="Times New Roman" w:hAnsi="Times New Roman" w:cs="Times New Roman"/>
                <w:sz w:val="24"/>
                <w:szCs w:val="24"/>
                <w:lang w:val="ru-RU" w:eastAsia="ru-RU"/>
              </w:rPr>
              <w:t>(Семьдесят четыре тысячи пятьсот семьдесят шесть)</w:t>
            </w:r>
            <w:r w:rsidRPr="006C5CA6">
              <w:rPr>
                <w:rFonts w:ascii="Times New Roman" w:hAnsi="Times New Roman" w:cs="Times New Roman"/>
                <w:b/>
                <w:sz w:val="24"/>
                <w:szCs w:val="24"/>
                <w:lang w:val="ru-RU" w:eastAsia="ru-RU"/>
              </w:rPr>
              <w:t xml:space="preserve"> рублей 66 копеек</w:t>
            </w:r>
            <w:r w:rsidRPr="006C5CA6">
              <w:rPr>
                <w:rFonts w:ascii="Times New Roman" w:hAnsi="Times New Roman" w:cs="Times New Roman"/>
                <w:sz w:val="24"/>
                <w:szCs w:val="24"/>
                <w:lang w:val="ru-RU" w:eastAsia="ru-RU"/>
              </w:rPr>
              <w:t>.</w:t>
            </w:r>
          </w:p>
          <w:p w14:paraId="1A2B2488"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6C5CA6">
              <w:rPr>
                <w:rFonts w:ascii="Times New Roman" w:hAnsi="Times New Roman" w:cs="Times New Roman"/>
                <w:sz w:val="24"/>
                <w:szCs w:val="24"/>
                <w:lang w:val="ru-RU" w:eastAsia="ru-RU"/>
              </w:rPr>
              <w:t>НДС не облагается.</w:t>
            </w:r>
          </w:p>
          <w:p w14:paraId="04252F8E"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219E0C44"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6C5CA6">
              <w:rPr>
                <w:rFonts w:ascii="Times New Roman" w:hAnsi="Times New Roman" w:cs="Times New Roman"/>
                <w:sz w:val="24"/>
                <w:szCs w:val="24"/>
                <w:lang w:val="ru-RU" w:eastAsia="ru-RU"/>
              </w:rPr>
              <w:t>Обеспечение гарантийных обязательств предоставляется в виде независимой гарантии или внесения денежных средств на счет Заказчика.</w:t>
            </w:r>
          </w:p>
          <w:p w14:paraId="47495097"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6C5CA6">
              <w:rPr>
                <w:rFonts w:ascii="Times New Roman" w:hAnsi="Times New Roman" w:cs="Times New Roman"/>
                <w:sz w:val="24"/>
                <w:szCs w:val="24"/>
                <w:lang w:val="ru-RU" w:eastAsia="ru-RU"/>
              </w:rPr>
              <w:t xml:space="preserve">Заказчик в качестве обеспечения исполнения контракта принимает независимые гарантии, выданные: </w:t>
            </w:r>
          </w:p>
          <w:p w14:paraId="62A57A0F"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6C5CA6">
              <w:rPr>
                <w:rFonts w:ascii="Times New Roman" w:hAnsi="Times New Roman" w:cs="Times New Roman"/>
                <w:sz w:val="24"/>
                <w:szCs w:val="24"/>
                <w:lang w:val="ru-RU" w:eastAsia="ru-RU"/>
              </w:rPr>
              <w:t>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Федерального закона № 44-ФЗ;</w:t>
            </w:r>
          </w:p>
          <w:p w14:paraId="01487D0D"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6C5CA6">
              <w:rPr>
                <w:rFonts w:ascii="Times New Roman" w:hAnsi="Times New Roman" w:cs="Times New Roman"/>
                <w:sz w:val="24"/>
                <w:szCs w:val="24"/>
                <w:lang w:val="ru-RU" w:eastAsia="ru-RU"/>
              </w:rPr>
              <w:t>2) Государственной корпорацией развития «ВЭБ РФ»;</w:t>
            </w:r>
          </w:p>
          <w:p w14:paraId="54F208E7" w14:textId="3495F898"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6C5CA6">
              <w:rPr>
                <w:rFonts w:ascii="Times New Roman" w:hAnsi="Times New Roman" w:cs="Times New Roman"/>
                <w:sz w:val="24"/>
                <w:szCs w:val="24"/>
                <w:lang w:val="ru-RU" w:eastAsia="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Pr>
                <w:rFonts w:ascii="Times New Roman" w:hAnsi="Times New Roman" w:cs="Times New Roman"/>
                <w:sz w:val="24"/>
                <w:szCs w:val="24"/>
                <w:lang w:val="ru-RU" w:eastAsia="ru-RU"/>
              </w:rPr>
              <w:t xml:space="preserve">м законом от 24 июля 2007 года </w:t>
            </w:r>
            <w:r w:rsidRPr="006C5CA6">
              <w:rPr>
                <w:rFonts w:ascii="Times New Roman" w:hAnsi="Times New Roman" w:cs="Times New Roman"/>
                <w:sz w:val="24"/>
                <w:szCs w:val="24"/>
                <w:lang w:val="ru-RU" w:eastAsia="ru-RU"/>
              </w:rPr>
              <w:t>№ 209-ФЗ «О развитии малого и среднего предпринимательства в</w:t>
            </w:r>
            <w:bookmarkStart w:id="0" w:name="_GoBack"/>
            <w:bookmarkEnd w:id="0"/>
            <w:r w:rsidRPr="006C5CA6">
              <w:rPr>
                <w:rFonts w:ascii="Times New Roman" w:hAnsi="Times New Roman" w:cs="Times New Roman"/>
                <w:sz w:val="24"/>
                <w:szCs w:val="24"/>
                <w:lang w:val="ru-RU" w:eastAsia="ru-RU"/>
              </w:rPr>
              <w:t xml:space="preserve">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14:paraId="644C7410"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6C5CA6">
              <w:rPr>
                <w:rFonts w:ascii="Times New Roman" w:hAnsi="Times New Roman" w:cs="Times New Roman"/>
                <w:sz w:val="24"/>
                <w:szCs w:val="24"/>
                <w:lang w:val="ru-RU"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640D6F90"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727DDAC6"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6C5CA6">
              <w:rPr>
                <w:rFonts w:ascii="Times New Roman" w:hAnsi="Times New Roman" w:cs="Times New Roman"/>
                <w:sz w:val="24"/>
                <w:szCs w:val="24"/>
                <w:lang w:val="ru-RU" w:eastAsia="ru-RU"/>
              </w:rPr>
              <w:t>В соответствии с частью 8 статьи 45 Федерального закона № 44-ФЗ независимая гарантия, информация о ней и документы, предусмотренные частью 9 статьи 45 Федерального закона №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 44-ФЗ.</w:t>
            </w:r>
          </w:p>
          <w:p w14:paraId="613EDA9C"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4355761A"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6C5CA6">
              <w:rPr>
                <w:rFonts w:ascii="Times New Roman" w:hAnsi="Times New Roman" w:cs="Times New Roman"/>
                <w:sz w:val="24"/>
                <w:szCs w:val="24"/>
                <w:lang w:val="ru-RU" w:eastAsia="ru-RU"/>
              </w:rPr>
              <w:t>В соответствии с частями 2, 3 и 3.1 статьи 45 Федерального закона № 44-ФЗ независимая гарантия должна быть безотзывной и должна содержать:</w:t>
            </w:r>
          </w:p>
          <w:p w14:paraId="40A09EB5"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6C5CA6">
              <w:rPr>
                <w:rFonts w:ascii="Times New Roman" w:hAnsi="Times New Roman" w:cs="Times New Roman"/>
                <w:sz w:val="24"/>
                <w:szCs w:val="24"/>
                <w:lang w:val="ru-RU" w:eastAsia="ru-RU"/>
              </w:rPr>
              <w:t>1) сумму независимой гарантии, подлежащую уплате гарантом заказчику в установленных частью 15 статьи 44 Федерального закона № 44-ФЗ,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 44-ФЗ, а также идентификационный код закупки, при осуществлении которой предоставляется такая независимая гарантия;</w:t>
            </w:r>
          </w:p>
          <w:p w14:paraId="6CF568BB"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6C5CA6">
              <w:rPr>
                <w:rFonts w:ascii="Times New Roman" w:hAnsi="Times New Roman" w:cs="Times New Roman"/>
                <w:sz w:val="24"/>
                <w:szCs w:val="24"/>
                <w:lang w:val="ru-RU" w:eastAsia="ru-RU"/>
              </w:rPr>
              <w:t>2) обязательства принципала, надлежащее исполнение которых обеспечивается независимой гарантией;</w:t>
            </w:r>
          </w:p>
          <w:p w14:paraId="1DBFCC1E"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6C5CA6">
              <w:rPr>
                <w:rFonts w:ascii="Times New Roman" w:hAnsi="Times New Roman" w:cs="Times New Roman"/>
                <w:sz w:val="24"/>
                <w:szCs w:val="24"/>
                <w:lang w:val="ru-RU" w:eastAsia="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620649E0"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6C5CA6">
              <w:rPr>
                <w:rFonts w:ascii="Times New Roman" w:hAnsi="Times New Roman" w:cs="Times New Roman"/>
                <w:sz w:val="24"/>
                <w:szCs w:val="24"/>
                <w:lang w:val="ru-RU"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64D124F"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6C5CA6">
              <w:rPr>
                <w:rFonts w:ascii="Times New Roman" w:hAnsi="Times New Roman" w:cs="Times New Roman"/>
                <w:sz w:val="24"/>
                <w:szCs w:val="24"/>
                <w:lang w:val="ru-RU" w:eastAsia="ru-RU"/>
              </w:rPr>
              <w:t>5) срок действия независимой гарантии с учетом требований статей 44 и 96 Федерального закона № 44-ФЗ;</w:t>
            </w:r>
          </w:p>
          <w:p w14:paraId="75C424CE"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6C5CA6">
              <w:rPr>
                <w:rFonts w:ascii="Times New Roman" w:hAnsi="Times New Roman" w:cs="Times New Roman"/>
                <w:sz w:val="24"/>
                <w:szCs w:val="24"/>
                <w:lang w:val="ru-RU"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00C4F750"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6C5CA6">
              <w:rPr>
                <w:rFonts w:ascii="Times New Roman" w:hAnsi="Times New Roman" w:cs="Times New Roman"/>
                <w:sz w:val="24"/>
                <w:szCs w:val="24"/>
                <w:lang w:val="ru-RU" w:eastAsia="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14:paraId="1F5070EF"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6C5CA6">
              <w:rPr>
                <w:rFonts w:ascii="Times New Roman" w:hAnsi="Times New Roman" w:cs="Times New Roman"/>
                <w:sz w:val="24"/>
                <w:szCs w:val="24"/>
                <w:lang w:val="ru-RU" w:eastAsia="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C09557E"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bCs/>
                <w:sz w:val="24"/>
                <w:szCs w:val="24"/>
                <w:lang w:val="ru-RU" w:eastAsia="ru-RU"/>
              </w:rPr>
            </w:pPr>
            <w:r w:rsidRPr="006C5CA6">
              <w:rPr>
                <w:rFonts w:ascii="Times New Roman" w:hAnsi="Times New Roman" w:cs="Times New Roman"/>
                <w:bCs/>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 № 44-ФЗ,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3D21B1DB"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bCs/>
                <w:sz w:val="24"/>
                <w:szCs w:val="24"/>
                <w:lang w:val="ru-RU" w:eastAsia="ru-RU"/>
              </w:rPr>
            </w:pPr>
          </w:p>
          <w:p w14:paraId="50B0F028"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b/>
                <w:sz w:val="24"/>
                <w:szCs w:val="24"/>
                <w:lang w:val="ru-RU" w:eastAsia="ru-RU"/>
              </w:rPr>
            </w:pPr>
            <w:r w:rsidRPr="006C5CA6">
              <w:rPr>
                <w:rFonts w:ascii="Times New Roman" w:hAnsi="Times New Roman" w:cs="Times New Roman"/>
                <w:b/>
                <w:sz w:val="24"/>
                <w:szCs w:val="24"/>
                <w:lang w:val="ru-RU" w:eastAsia="ru-RU"/>
              </w:rPr>
              <w:t xml:space="preserve">Реквизиты счета для внесения обеспечения гарантийных обязательств: </w:t>
            </w:r>
          </w:p>
          <w:p w14:paraId="2EFA00F4"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6C5CA6">
              <w:rPr>
                <w:rFonts w:ascii="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480362FD"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6C5CA6">
              <w:rPr>
                <w:rFonts w:ascii="Times New Roman" w:hAnsi="Times New Roman" w:cs="Times New Roman"/>
                <w:sz w:val="24"/>
                <w:szCs w:val="24"/>
                <w:lang w:val="ru-RU" w:eastAsia="ru-RU"/>
              </w:rPr>
              <w:t xml:space="preserve">ИНН 7728013512/КПП 772801001 </w:t>
            </w:r>
          </w:p>
          <w:p w14:paraId="44F94F4A"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6C5CA6">
              <w:rPr>
                <w:rFonts w:ascii="Times New Roman" w:hAnsi="Times New Roman" w:cs="Times New Roman"/>
                <w:sz w:val="24"/>
                <w:szCs w:val="24"/>
                <w:lang w:val="ru-RU" w:eastAsia="ru-RU"/>
              </w:rPr>
              <w:t>ОГРН 1037739269590</w:t>
            </w:r>
          </w:p>
          <w:p w14:paraId="2B639962"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6C5CA6">
              <w:rPr>
                <w:rFonts w:ascii="Times New Roman" w:hAnsi="Times New Roman" w:cs="Times New Roman"/>
                <w:sz w:val="24"/>
                <w:szCs w:val="24"/>
                <w:lang w:val="ru-RU" w:eastAsia="ru-RU"/>
              </w:rPr>
              <w:t>Банковские реквизиты: БИК ТОФК 004525988</w:t>
            </w:r>
          </w:p>
          <w:p w14:paraId="270013BA"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6C5CA6">
              <w:rPr>
                <w:rFonts w:ascii="Times New Roman" w:hAnsi="Times New Roman" w:cs="Times New Roman"/>
                <w:sz w:val="24"/>
                <w:szCs w:val="24"/>
                <w:lang w:val="ru-RU" w:eastAsia="ru-RU"/>
              </w:rPr>
              <w:t xml:space="preserve">ГУ Банка России по ЦФО, УФК по г. Москве  </w:t>
            </w:r>
          </w:p>
          <w:p w14:paraId="49019937"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6C5CA6">
              <w:rPr>
                <w:rFonts w:ascii="Times New Roman" w:hAnsi="Times New Roman" w:cs="Times New Roman"/>
                <w:sz w:val="24"/>
                <w:szCs w:val="24"/>
                <w:lang w:val="ru-RU" w:eastAsia="ru-RU"/>
              </w:rPr>
              <w:t>Единый казначейский счет 40102810545370000003</w:t>
            </w:r>
          </w:p>
          <w:p w14:paraId="5D5FBA3B"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6C5CA6">
              <w:rPr>
                <w:rFonts w:ascii="Times New Roman" w:hAnsi="Times New Roman" w:cs="Times New Roman"/>
                <w:sz w:val="24"/>
                <w:szCs w:val="24"/>
                <w:lang w:val="ru-RU" w:eastAsia="ru-RU"/>
              </w:rPr>
              <w:t>Казначейский счет 03214643000000017300</w:t>
            </w:r>
          </w:p>
          <w:p w14:paraId="3C784ED0"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6C5CA6">
              <w:rPr>
                <w:rFonts w:ascii="Times New Roman" w:hAnsi="Times New Roman" w:cs="Times New Roman"/>
                <w:sz w:val="24"/>
                <w:szCs w:val="24"/>
                <w:lang w:val="ru-RU" w:eastAsia="ru-RU"/>
              </w:rPr>
              <w:t>л/с 20736Ц83220.</w:t>
            </w:r>
          </w:p>
          <w:p w14:paraId="6E74522F"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6C5CA6">
              <w:rPr>
                <w:rFonts w:ascii="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14:paraId="7F81BFFE"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2FAF7B45"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6C5CA6">
              <w:rPr>
                <w:rFonts w:ascii="Times New Roman" w:hAnsi="Times New Roman" w:cs="Times New Roman"/>
                <w:b/>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w:t>
            </w:r>
            <w:r w:rsidRPr="006C5CA6">
              <w:rPr>
                <w:rFonts w:ascii="Times New Roman" w:hAnsi="Times New Roman" w:cs="Times New Roman"/>
                <w:sz w:val="24"/>
                <w:szCs w:val="24"/>
                <w:lang w:val="ru-RU" w:eastAsia="ru-RU"/>
              </w:rPr>
              <w:t xml:space="preserve">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7A18D39D"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i/>
                <w:sz w:val="24"/>
                <w:szCs w:val="24"/>
                <w:lang w:val="ru-RU" w:eastAsia="ru-RU"/>
              </w:rPr>
            </w:pPr>
            <w:r w:rsidRPr="006C5CA6">
              <w:rPr>
                <w:rFonts w:ascii="Times New Roman" w:hAnsi="Times New Roman" w:cs="Times New Roman"/>
                <w:i/>
                <w:sz w:val="24"/>
                <w:szCs w:val="24"/>
                <w:lang w:val="ru-RU" w:eastAsia="ru-RU"/>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p>
          <w:p w14:paraId="257B2E2A"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6C5CA6">
              <w:rPr>
                <w:rFonts w:ascii="Times New Roman" w:hAnsi="Times New Roman" w:cs="Times New Roman"/>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14:paraId="76F1399E" w14:textId="77777777" w:rsidR="006C5CA6" w:rsidRPr="006C5CA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4A8C287C" w14:textId="1F3C4E60" w:rsidR="00747BE6" w:rsidRDefault="006C5CA6" w:rsidP="006C5CA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6C5CA6">
              <w:rPr>
                <w:rFonts w:ascii="Times New Roman" w:hAnsi="Times New Roman" w:cs="Times New Roman"/>
                <w:sz w:val="24"/>
                <w:szCs w:val="24"/>
                <w:lang w:val="ru-RU" w:eastAsia="ru-RU"/>
              </w:rPr>
              <w:t>Срок предоставления обеспечения - не позднее даты приемки Товара.</w:t>
            </w:r>
          </w:p>
        </w:tc>
      </w:tr>
    </w:tbl>
    <w:p w14:paraId="7AE883F8" w14:textId="77777777"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D9E20" w14:textId="77777777" w:rsidR="008D4BB0" w:rsidRDefault="008D4BB0" w:rsidP="00EE65A5">
      <w:pPr>
        <w:spacing w:before="0" w:after="0"/>
      </w:pPr>
      <w:r>
        <w:separator/>
      </w:r>
    </w:p>
  </w:endnote>
  <w:endnote w:type="continuationSeparator" w:id="0">
    <w:p w14:paraId="0DAF9655" w14:textId="77777777" w:rsidR="008D4BB0" w:rsidRDefault="008D4BB0"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528D3" w14:textId="77777777"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EEBEAB0" w14:textId="77777777"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14:paraId="137597A0" w14:textId="77777777" w:rsidR="00866959" w:rsidRDefault="00FF4A36" w:rsidP="00EF2747">
        <w:pPr>
          <w:pStyle w:val="ac"/>
          <w:jc w:val="center"/>
        </w:pPr>
        <w:r>
          <w:fldChar w:fldCharType="begin"/>
        </w:r>
        <w:r>
          <w:instrText>PAGE   \* MERGEFORMAT</w:instrText>
        </w:r>
        <w:r>
          <w:fldChar w:fldCharType="separate"/>
        </w:r>
        <w:r w:rsidR="006C5CA6" w:rsidRPr="006C5CA6">
          <w:rPr>
            <w:noProof/>
            <w:lang w:val="ru-RU"/>
          </w:rPr>
          <w:t>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5079A" w14:textId="77777777"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E110F" w14:textId="77777777" w:rsidR="008D4BB0" w:rsidRDefault="008D4BB0" w:rsidP="00EE65A5">
      <w:pPr>
        <w:spacing w:before="0" w:after="0"/>
      </w:pPr>
      <w:r>
        <w:separator/>
      </w:r>
    </w:p>
  </w:footnote>
  <w:footnote w:type="continuationSeparator" w:id="0">
    <w:p w14:paraId="1603A02F" w14:textId="77777777" w:rsidR="008D4BB0" w:rsidRDefault="008D4BB0"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A0F6F" w14:textId="77777777"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A21B" w14:textId="77777777"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E9730" w14:textId="77777777"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4133"/>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54AC"/>
    <w:rsid w:val="004F7E17"/>
    <w:rsid w:val="005020AB"/>
    <w:rsid w:val="00515235"/>
    <w:rsid w:val="005155F7"/>
    <w:rsid w:val="00517C25"/>
    <w:rsid w:val="00520676"/>
    <w:rsid w:val="0052172D"/>
    <w:rsid w:val="00522191"/>
    <w:rsid w:val="0052267E"/>
    <w:rsid w:val="00523D8B"/>
    <w:rsid w:val="0053017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857F4"/>
    <w:rsid w:val="0069528D"/>
    <w:rsid w:val="006B6EDE"/>
    <w:rsid w:val="006C2CD0"/>
    <w:rsid w:val="006C320F"/>
    <w:rsid w:val="006C5AB3"/>
    <w:rsid w:val="006C5CA6"/>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4BB0"/>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6EF7"/>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87A11"/>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92"/>
    <w:rsid w:val="00BE5BC9"/>
    <w:rsid w:val="00BF5C31"/>
    <w:rsid w:val="00C05B02"/>
    <w:rsid w:val="00C060B9"/>
    <w:rsid w:val="00C11EF7"/>
    <w:rsid w:val="00C12C86"/>
    <w:rsid w:val="00C2112C"/>
    <w:rsid w:val="00C216FD"/>
    <w:rsid w:val="00C260E7"/>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679A8"/>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757"/>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55A0"/>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00135-D69B-4246-85B1-D78C56DD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2954</Words>
  <Characters>16840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10</cp:revision>
  <cp:lastPrinted>2025-04-01T15:15:00Z</cp:lastPrinted>
  <dcterms:created xsi:type="dcterms:W3CDTF">2024-07-09T19:39:00Z</dcterms:created>
  <dcterms:modified xsi:type="dcterms:W3CDTF">2025-04-01T15:18:00Z</dcterms:modified>
</cp:coreProperties>
</file>