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3" w:type="dxa"/>
        <w:tblLook w:val="04A0" w:firstRow="1" w:lastRow="0" w:firstColumn="1" w:lastColumn="0" w:noHBand="0" w:noVBand="1"/>
      </w:tblPr>
      <w:tblGrid>
        <w:gridCol w:w="4048"/>
        <w:gridCol w:w="6145"/>
      </w:tblGrid>
      <w:tr w:rsidR="008F7C21" w:rsidRPr="008F7C21" w:rsidTr="009262B6">
        <w:trPr>
          <w:trHeight w:val="2010"/>
        </w:trPr>
        <w:tc>
          <w:tcPr>
            <w:tcW w:w="4048" w:type="dxa"/>
            <w:shd w:val="clear" w:color="auto" w:fill="auto"/>
          </w:tcPr>
          <w:p w:rsidR="008F7C21" w:rsidRPr="008F7C21" w:rsidRDefault="008F7C21" w:rsidP="008F7C21">
            <w:pPr>
              <w:tabs>
                <w:tab w:val="left" w:pos="1560"/>
              </w:tabs>
              <w:spacing w:after="0" w:line="240" w:lineRule="auto"/>
              <w:rPr>
                <w:rFonts w:eastAsia="Calibri"/>
                <w:sz w:val="24"/>
                <w:szCs w:val="24"/>
              </w:rPr>
            </w:pPr>
          </w:p>
        </w:tc>
        <w:tc>
          <w:tcPr>
            <w:tcW w:w="6145" w:type="dxa"/>
            <w:shd w:val="clear" w:color="auto" w:fill="auto"/>
          </w:tcPr>
          <w:p w:rsidR="008F7C21" w:rsidRPr="008F7C21" w:rsidRDefault="008F7C21" w:rsidP="008F7C21">
            <w:pPr>
              <w:tabs>
                <w:tab w:val="left" w:pos="1560"/>
              </w:tabs>
              <w:spacing w:after="0" w:line="240" w:lineRule="auto"/>
              <w:ind w:firstLine="29"/>
              <w:jc w:val="center"/>
              <w:rPr>
                <w:rFonts w:eastAsia="Calibri"/>
                <w:sz w:val="24"/>
                <w:szCs w:val="24"/>
              </w:rPr>
            </w:pPr>
          </w:p>
          <w:p w:rsidR="008F7C21" w:rsidRPr="008F7C21" w:rsidRDefault="008F7C21" w:rsidP="008F7C21">
            <w:pPr>
              <w:tabs>
                <w:tab w:val="left" w:pos="1560"/>
              </w:tabs>
              <w:spacing w:after="0" w:line="240" w:lineRule="auto"/>
              <w:ind w:firstLine="29"/>
              <w:jc w:val="center"/>
              <w:rPr>
                <w:rFonts w:eastAsia="Calibri"/>
                <w:sz w:val="24"/>
                <w:szCs w:val="24"/>
              </w:rPr>
            </w:pPr>
            <w:r w:rsidRPr="008F7C21">
              <w:rPr>
                <w:rFonts w:eastAsia="Calibri"/>
                <w:sz w:val="24"/>
                <w:szCs w:val="24"/>
              </w:rPr>
              <w:t>«УТВЕРЖДАЮ»</w:t>
            </w:r>
          </w:p>
          <w:p w:rsidR="008F7C21" w:rsidRPr="008F7C21" w:rsidRDefault="008F7C21" w:rsidP="008F7C21">
            <w:pPr>
              <w:tabs>
                <w:tab w:val="left" w:pos="1560"/>
              </w:tabs>
              <w:spacing w:after="0" w:line="240" w:lineRule="auto"/>
              <w:ind w:firstLine="29"/>
              <w:jc w:val="center"/>
              <w:rPr>
                <w:rFonts w:eastAsia="Calibri"/>
                <w:sz w:val="24"/>
                <w:szCs w:val="24"/>
              </w:rPr>
            </w:pPr>
            <w:r w:rsidRPr="008F7C21">
              <w:rPr>
                <w:rFonts w:eastAsia="Calibri"/>
                <w:sz w:val="24"/>
                <w:szCs w:val="24"/>
              </w:rPr>
              <w:t xml:space="preserve">Заместитель директора </w:t>
            </w:r>
          </w:p>
          <w:p w:rsidR="008F7C21" w:rsidRPr="008F7C21" w:rsidRDefault="008F7C21" w:rsidP="008F7C21">
            <w:pPr>
              <w:tabs>
                <w:tab w:val="left" w:pos="1560"/>
              </w:tabs>
              <w:spacing w:after="0" w:line="240" w:lineRule="auto"/>
              <w:ind w:firstLine="29"/>
              <w:jc w:val="center"/>
              <w:rPr>
                <w:rFonts w:eastAsia="Calibri"/>
                <w:sz w:val="24"/>
                <w:szCs w:val="24"/>
              </w:rPr>
            </w:pPr>
            <w:r w:rsidRPr="008F7C21">
              <w:rPr>
                <w:rFonts w:eastAsia="Calibri"/>
                <w:sz w:val="24"/>
                <w:szCs w:val="24"/>
              </w:rPr>
              <w:t>по финансовой работе</w:t>
            </w:r>
          </w:p>
          <w:p w:rsidR="008F7C21" w:rsidRPr="008F7C21" w:rsidRDefault="008F7C21" w:rsidP="008F7C21">
            <w:pPr>
              <w:tabs>
                <w:tab w:val="left" w:pos="1560"/>
              </w:tabs>
              <w:spacing w:after="0" w:line="240" w:lineRule="auto"/>
              <w:ind w:firstLine="29"/>
              <w:jc w:val="center"/>
              <w:rPr>
                <w:rFonts w:eastAsia="Calibri"/>
                <w:sz w:val="24"/>
                <w:szCs w:val="24"/>
              </w:rPr>
            </w:pPr>
          </w:p>
          <w:p w:rsidR="008F7C21" w:rsidRPr="008F7C21" w:rsidRDefault="008F7C21" w:rsidP="008F7C21">
            <w:pPr>
              <w:tabs>
                <w:tab w:val="left" w:pos="1560"/>
              </w:tabs>
              <w:spacing w:after="0" w:line="240" w:lineRule="auto"/>
              <w:ind w:firstLine="29"/>
              <w:jc w:val="center"/>
              <w:rPr>
                <w:rFonts w:eastAsia="Calibri"/>
                <w:sz w:val="24"/>
                <w:szCs w:val="24"/>
              </w:rPr>
            </w:pPr>
            <w:r w:rsidRPr="008F7C21">
              <w:rPr>
                <w:rFonts w:eastAsia="Calibri"/>
                <w:sz w:val="24"/>
                <w:szCs w:val="24"/>
              </w:rPr>
              <w:t xml:space="preserve">                       ___________________ /Е.А. Володин/</w:t>
            </w:r>
          </w:p>
          <w:p w:rsidR="008F7C21" w:rsidRPr="008F7C21" w:rsidRDefault="008F7C21" w:rsidP="008F7C21">
            <w:pPr>
              <w:tabs>
                <w:tab w:val="left" w:pos="1560"/>
              </w:tabs>
              <w:spacing w:after="0" w:line="240" w:lineRule="auto"/>
              <w:ind w:firstLine="29"/>
              <w:jc w:val="center"/>
              <w:rPr>
                <w:rFonts w:eastAsia="Calibri"/>
                <w:sz w:val="24"/>
                <w:szCs w:val="24"/>
              </w:rPr>
            </w:pPr>
          </w:p>
        </w:tc>
      </w:tr>
    </w:tbl>
    <w:p w:rsidR="00446271" w:rsidRDefault="008F7C21" w:rsidP="00446271">
      <w:pPr>
        <w:tabs>
          <w:tab w:val="left" w:pos="1560"/>
        </w:tabs>
        <w:spacing w:after="0" w:line="240" w:lineRule="auto"/>
        <w:jc w:val="center"/>
        <w:rPr>
          <w:rFonts w:eastAsia="Calibri"/>
          <w:b/>
          <w:sz w:val="24"/>
          <w:szCs w:val="24"/>
        </w:rPr>
      </w:pPr>
      <w:r w:rsidRPr="008F7C21">
        <w:rPr>
          <w:rFonts w:eastAsia="Calibri"/>
          <w:b/>
          <w:sz w:val="24"/>
          <w:szCs w:val="24"/>
        </w:rPr>
        <w:t>Обоснование</w:t>
      </w:r>
      <w:r w:rsidR="00446271">
        <w:rPr>
          <w:rFonts w:eastAsia="Calibri"/>
          <w:b/>
          <w:sz w:val="24"/>
          <w:szCs w:val="24"/>
        </w:rPr>
        <w:t xml:space="preserve"> </w:t>
      </w:r>
    </w:p>
    <w:p w:rsidR="008F7C21" w:rsidRPr="008F7C21" w:rsidRDefault="008F7C21" w:rsidP="00446271">
      <w:pPr>
        <w:tabs>
          <w:tab w:val="left" w:pos="1560"/>
        </w:tabs>
        <w:spacing w:after="0" w:line="240" w:lineRule="auto"/>
        <w:jc w:val="center"/>
        <w:rPr>
          <w:rFonts w:eastAsia="Calibri"/>
          <w:b/>
          <w:sz w:val="24"/>
          <w:szCs w:val="24"/>
        </w:rPr>
      </w:pPr>
      <w:r w:rsidRPr="008F7C21">
        <w:rPr>
          <w:rFonts w:eastAsia="Calibri"/>
          <w:b/>
          <w:sz w:val="24"/>
          <w:szCs w:val="24"/>
        </w:rPr>
        <w:t xml:space="preserve">начальной максимальной цены контракта, цены контракта, заключаемого </w:t>
      </w:r>
      <w:r w:rsidR="00446271">
        <w:rPr>
          <w:rFonts w:eastAsia="Calibri"/>
          <w:b/>
          <w:sz w:val="24"/>
          <w:szCs w:val="24"/>
        </w:rPr>
        <w:br/>
      </w:r>
      <w:r w:rsidRPr="008F7C21">
        <w:rPr>
          <w:rFonts w:eastAsia="Calibri"/>
          <w:b/>
          <w:sz w:val="24"/>
          <w:szCs w:val="24"/>
        </w:rPr>
        <w:t>с</w:t>
      </w:r>
      <w:r w:rsidR="00446271">
        <w:rPr>
          <w:rFonts w:eastAsia="Calibri"/>
          <w:b/>
          <w:sz w:val="24"/>
          <w:szCs w:val="24"/>
        </w:rPr>
        <w:t xml:space="preserve"> </w:t>
      </w:r>
      <w:r w:rsidRPr="008F7C21">
        <w:rPr>
          <w:rFonts w:eastAsia="Calibri"/>
          <w:b/>
          <w:sz w:val="24"/>
          <w:szCs w:val="24"/>
        </w:rPr>
        <w:t>единственным поставщиком (подрядчиком, исполнителем)</w:t>
      </w:r>
    </w:p>
    <w:p w:rsidR="008F7C21" w:rsidRPr="00795961" w:rsidRDefault="008F7C21" w:rsidP="008F7C21">
      <w:pPr>
        <w:tabs>
          <w:tab w:val="left" w:pos="1560"/>
        </w:tabs>
        <w:spacing w:after="0" w:line="240" w:lineRule="auto"/>
        <w:ind w:firstLine="567"/>
        <w:jc w:val="center"/>
        <w:rPr>
          <w:rFonts w:eastAsia="Calibri"/>
          <w:b/>
          <w:sz w:val="16"/>
          <w:szCs w:val="16"/>
        </w:rPr>
      </w:pPr>
    </w:p>
    <w:p w:rsidR="00497663" w:rsidRPr="00781BD7" w:rsidRDefault="00497663" w:rsidP="00497663">
      <w:pPr>
        <w:tabs>
          <w:tab w:val="left" w:pos="1560"/>
        </w:tabs>
        <w:spacing w:after="0" w:line="240" w:lineRule="auto"/>
        <w:ind w:firstLine="567"/>
        <w:jc w:val="center"/>
        <w:rPr>
          <w:sz w:val="24"/>
          <w:szCs w:val="24"/>
          <w:u w:val="single"/>
        </w:rPr>
      </w:pPr>
      <w:r w:rsidRPr="00781BD7">
        <w:rPr>
          <w:sz w:val="24"/>
          <w:szCs w:val="24"/>
          <w:u w:val="single"/>
        </w:rPr>
        <w:t xml:space="preserve">Поставка </w:t>
      </w:r>
      <w:r w:rsidR="00795961" w:rsidRPr="00795961">
        <w:rPr>
          <w:sz w:val="24"/>
          <w:szCs w:val="24"/>
          <w:u w:val="single"/>
        </w:rPr>
        <w:t>бумаги для офисной техники и картона</w:t>
      </w:r>
      <w:r w:rsidR="00795961" w:rsidRPr="00795961">
        <w:rPr>
          <w:b/>
          <w:sz w:val="24"/>
          <w:szCs w:val="24"/>
          <w:u w:val="single"/>
        </w:rPr>
        <w:t xml:space="preserve"> </w:t>
      </w:r>
      <w:r w:rsidRPr="00781BD7">
        <w:rPr>
          <w:sz w:val="24"/>
          <w:szCs w:val="24"/>
          <w:u w:val="single"/>
        </w:rPr>
        <w:t>для нужд ИПУ РАН</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6"/>
        <w:gridCol w:w="7512"/>
      </w:tblGrid>
      <w:tr w:rsidR="00497663" w:rsidRPr="00795961" w:rsidTr="00795961">
        <w:tc>
          <w:tcPr>
            <w:tcW w:w="2836" w:type="dxa"/>
            <w:tcBorders>
              <w:top w:val="single" w:sz="4" w:space="0" w:color="auto"/>
              <w:left w:val="single" w:sz="4" w:space="0" w:color="auto"/>
              <w:bottom w:val="single" w:sz="4" w:space="0" w:color="auto"/>
              <w:right w:val="single" w:sz="4" w:space="0" w:color="auto"/>
            </w:tcBorders>
            <w:hideMark/>
          </w:tcPr>
          <w:p w:rsidR="00497663" w:rsidRPr="00795961" w:rsidRDefault="00497663" w:rsidP="00F337DC">
            <w:pPr>
              <w:tabs>
                <w:tab w:val="left" w:pos="1560"/>
              </w:tabs>
              <w:spacing w:after="0" w:line="240" w:lineRule="auto"/>
              <w:rPr>
                <w:sz w:val="22"/>
              </w:rPr>
            </w:pPr>
            <w:r w:rsidRPr="00795961">
              <w:rPr>
                <w:sz w:val="22"/>
              </w:rPr>
              <w:t>Основные характеристики объекта закупки</w:t>
            </w:r>
          </w:p>
        </w:tc>
        <w:tc>
          <w:tcPr>
            <w:tcW w:w="7512" w:type="dxa"/>
            <w:tcBorders>
              <w:top w:val="single" w:sz="4" w:space="0" w:color="auto"/>
              <w:left w:val="single" w:sz="4" w:space="0" w:color="auto"/>
              <w:bottom w:val="single" w:sz="4" w:space="0" w:color="auto"/>
              <w:right w:val="single" w:sz="4" w:space="0" w:color="auto"/>
            </w:tcBorders>
          </w:tcPr>
          <w:p w:rsidR="00795961" w:rsidRPr="00795961" w:rsidRDefault="00795961" w:rsidP="00795961">
            <w:pPr>
              <w:shd w:val="clear" w:color="auto" w:fill="FFFFFF"/>
              <w:spacing w:after="0" w:line="240" w:lineRule="auto"/>
              <w:ind w:left="30" w:right="30"/>
              <w:outlineLvl w:val="2"/>
              <w:rPr>
                <w:rFonts w:eastAsia="Times New Roman"/>
                <w:bCs/>
                <w:sz w:val="22"/>
                <w:lang w:eastAsia="ru-RU"/>
              </w:rPr>
            </w:pPr>
            <w:r w:rsidRPr="00795961">
              <w:rPr>
                <w:rFonts w:eastAsia="Times New Roman"/>
                <w:bCs/>
                <w:sz w:val="22"/>
                <w:lang w:eastAsia="ru-RU"/>
              </w:rPr>
              <w:t>ОКПД 2 код: 17.12.14.110 - Бумага для печати;</w:t>
            </w:r>
          </w:p>
          <w:p w:rsidR="00795961" w:rsidRPr="00795961" w:rsidRDefault="00795961" w:rsidP="00795961">
            <w:pPr>
              <w:shd w:val="clear" w:color="auto" w:fill="FFFFFF"/>
              <w:spacing w:after="0" w:line="240" w:lineRule="auto"/>
              <w:ind w:left="30" w:right="30"/>
              <w:outlineLvl w:val="2"/>
              <w:rPr>
                <w:rFonts w:eastAsia="Times New Roman"/>
                <w:bCs/>
                <w:sz w:val="22"/>
                <w:lang w:eastAsia="ru-RU"/>
              </w:rPr>
            </w:pPr>
            <w:r w:rsidRPr="00795961">
              <w:rPr>
                <w:rFonts w:eastAsia="Times New Roman"/>
                <w:bCs/>
                <w:sz w:val="22"/>
                <w:lang w:eastAsia="ru-RU"/>
              </w:rPr>
              <w:t>КТРУ: 17.12.14.110-00000003 - Бумага для офисной техники;</w:t>
            </w:r>
          </w:p>
          <w:p w:rsidR="00795961" w:rsidRPr="00795961" w:rsidRDefault="00795961" w:rsidP="00795961">
            <w:pPr>
              <w:shd w:val="clear" w:color="auto" w:fill="FFFFFF"/>
              <w:spacing w:after="0" w:line="240" w:lineRule="auto"/>
              <w:ind w:left="30" w:right="30"/>
              <w:outlineLvl w:val="2"/>
              <w:rPr>
                <w:rFonts w:eastAsia="Times New Roman"/>
                <w:bCs/>
                <w:sz w:val="22"/>
                <w:lang w:eastAsia="ru-RU"/>
              </w:rPr>
            </w:pPr>
            <w:r w:rsidRPr="00795961">
              <w:rPr>
                <w:rFonts w:eastAsia="Times New Roman"/>
                <w:bCs/>
                <w:sz w:val="22"/>
                <w:lang w:eastAsia="ru-RU"/>
              </w:rPr>
              <w:t xml:space="preserve">КТРУ: 17.12.14.110-00000010 - Бумага для офисной техники; </w:t>
            </w:r>
          </w:p>
          <w:p w:rsidR="00795961" w:rsidRPr="00795961" w:rsidRDefault="00795961" w:rsidP="00795961">
            <w:pPr>
              <w:shd w:val="clear" w:color="auto" w:fill="FFFFFF"/>
              <w:spacing w:after="0" w:line="240" w:lineRule="auto"/>
              <w:ind w:left="30" w:right="30"/>
              <w:outlineLvl w:val="2"/>
              <w:rPr>
                <w:rFonts w:eastAsia="Times New Roman"/>
                <w:bCs/>
                <w:sz w:val="22"/>
                <w:lang w:eastAsia="ru-RU"/>
              </w:rPr>
            </w:pPr>
            <w:r w:rsidRPr="00795961">
              <w:rPr>
                <w:rFonts w:eastAsia="Times New Roman"/>
                <w:bCs/>
                <w:sz w:val="22"/>
                <w:lang w:eastAsia="ru-RU"/>
              </w:rPr>
              <w:t>ОКПД 2 код: 17.12.14.112 - Бумага офсетная; КТРУ 17.12.14.112-00000004 - Бумага офсетная;</w:t>
            </w:r>
          </w:p>
          <w:p w:rsidR="00795961" w:rsidRPr="00795961" w:rsidRDefault="00795961" w:rsidP="00795961">
            <w:pPr>
              <w:shd w:val="clear" w:color="auto" w:fill="FFFFFF"/>
              <w:spacing w:after="0" w:line="240" w:lineRule="auto"/>
              <w:ind w:left="30" w:right="30"/>
              <w:outlineLvl w:val="2"/>
              <w:rPr>
                <w:rFonts w:eastAsia="Times New Roman"/>
                <w:bCs/>
                <w:sz w:val="22"/>
                <w:lang w:eastAsia="ru-RU"/>
              </w:rPr>
            </w:pPr>
            <w:r w:rsidRPr="00795961">
              <w:rPr>
                <w:rFonts w:eastAsia="Times New Roman"/>
                <w:bCs/>
                <w:sz w:val="22"/>
                <w:lang w:eastAsia="ru-RU"/>
              </w:rPr>
              <w:t>ОКПД 2: 17.12.14.119 - Бумага для печати прочая; КТРУ отсутствует;</w:t>
            </w:r>
          </w:p>
          <w:p w:rsidR="00795961" w:rsidRPr="00795961" w:rsidRDefault="00795961" w:rsidP="00795961">
            <w:pPr>
              <w:shd w:val="clear" w:color="auto" w:fill="FFFFFF"/>
              <w:spacing w:after="0" w:line="240" w:lineRule="auto"/>
              <w:ind w:left="30" w:right="30"/>
              <w:outlineLvl w:val="2"/>
              <w:rPr>
                <w:rFonts w:eastAsia="Times New Roman"/>
                <w:bCs/>
                <w:sz w:val="22"/>
                <w:lang w:eastAsia="ru-RU"/>
              </w:rPr>
            </w:pPr>
            <w:r w:rsidRPr="00795961">
              <w:rPr>
                <w:rFonts w:eastAsia="Times New Roman"/>
                <w:bCs/>
                <w:sz w:val="22"/>
                <w:lang w:eastAsia="ru-RU"/>
              </w:rPr>
              <w:t>ОКПД 2: 17.12.59.000 - Картон немелованный прочий; КТРУ отсутствует;</w:t>
            </w:r>
          </w:p>
          <w:p w:rsidR="00497663" w:rsidRPr="00795961" w:rsidRDefault="00795961" w:rsidP="00795961">
            <w:pPr>
              <w:shd w:val="clear" w:color="auto" w:fill="FFFFFF"/>
              <w:spacing w:after="0" w:line="240" w:lineRule="auto"/>
              <w:ind w:left="30" w:right="30"/>
              <w:outlineLvl w:val="2"/>
              <w:rPr>
                <w:rFonts w:eastAsia="Times New Roman"/>
                <w:bCs/>
                <w:sz w:val="22"/>
                <w:lang w:eastAsia="ru-RU"/>
              </w:rPr>
            </w:pPr>
            <w:r w:rsidRPr="00795961">
              <w:rPr>
                <w:rFonts w:eastAsia="Times New Roman"/>
                <w:bCs/>
                <w:sz w:val="22"/>
                <w:lang w:eastAsia="ru-RU"/>
              </w:rPr>
              <w:t>ОКПД 2: 17.12.73.140 - Картон, используемый для письма, печати или прочих графических целей, мелованный каолином или прочими неорганическими веществами; КТРУ отсутствует.</w:t>
            </w:r>
          </w:p>
        </w:tc>
      </w:tr>
      <w:tr w:rsidR="00497663" w:rsidRPr="00795961" w:rsidTr="00795961">
        <w:tc>
          <w:tcPr>
            <w:tcW w:w="2836" w:type="dxa"/>
            <w:tcBorders>
              <w:top w:val="single" w:sz="4" w:space="0" w:color="auto"/>
              <w:left w:val="single" w:sz="4" w:space="0" w:color="auto"/>
              <w:bottom w:val="single" w:sz="4" w:space="0" w:color="auto"/>
              <w:right w:val="single" w:sz="4" w:space="0" w:color="auto"/>
            </w:tcBorders>
            <w:hideMark/>
          </w:tcPr>
          <w:p w:rsidR="00497663" w:rsidRPr="00795961" w:rsidRDefault="00497663" w:rsidP="00F337DC">
            <w:pPr>
              <w:tabs>
                <w:tab w:val="left" w:pos="1560"/>
              </w:tabs>
              <w:spacing w:after="0" w:line="240" w:lineRule="auto"/>
              <w:rPr>
                <w:sz w:val="22"/>
              </w:rPr>
            </w:pPr>
            <w:r w:rsidRPr="00795961">
              <w:rPr>
                <w:sz w:val="22"/>
              </w:rPr>
              <w:t xml:space="preserve">Используемый метод определения НМЦК </w:t>
            </w:r>
            <w:r w:rsidRPr="00795961">
              <w:rPr>
                <w:sz w:val="22"/>
              </w:rPr>
              <w:br/>
              <w:t>с обоснованием:</w:t>
            </w:r>
          </w:p>
        </w:tc>
        <w:tc>
          <w:tcPr>
            <w:tcW w:w="7512" w:type="dxa"/>
            <w:tcBorders>
              <w:top w:val="single" w:sz="4" w:space="0" w:color="auto"/>
              <w:left w:val="single" w:sz="4" w:space="0" w:color="auto"/>
              <w:bottom w:val="single" w:sz="4" w:space="0" w:color="auto"/>
              <w:right w:val="single" w:sz="4" w:space="0" w:color="auto"/>
            </w:tcBorders>
          </w:tcPr>
          <w:p w:rsidR="00795961" w:rsidRPr="00795961" w:rsidRDefault="00795961" w:rsidP="00795961">
            <w:pPr>
              <w:tabs>
                <w:tab w:val="left" w:pos="1560"/>
              </w:tabs>
              <w:spacing w:after="0" w:line="240" w:lineRule="auto"/>
              <w:jc w:val="both"/>
              <w:rPr>
                <w:sz w:val="22"/>
              </w:rPr>
            </w:pPr>
            <w:r w:rsidRPr="00795961">
              <w:rPr>
                <w:sz w:val="22"/>
              </w:rPr>
              <w:t>Определение и расчет начальной (максимальной) цены контракта составлен в соответствии с ч. 2 ст. 22 Федерального закона № 44-ФЗ методом сопоставимых рыночных цен (анализ рынка), руководствуясь положениями 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795961" w:rsidRPr="00795961" w:rsidRDefault="00795961" w:rsidP="00795961">
            <w:pPr>
              <w:tabs>
                <w:tab w:val="left" w:pos="1560"/>
              </w:tabs>
              <w:spacing w:after="0" w:line="240" w:lineRule="auto"/>
              <w:jc w:val="both"/>
              <w:rPr>
                <w:b/>
                <w:sz w:val="22"/>
              </w:rPr>
            </w:pPr>
            <w:r w:rsidRPr="00795961">
              <w:rPr>
                <w:sz w:val="22"/>
              </w:rPr>
              <w:t xml:space="preserve">Начальная (максимальная) цена контракта составляет: </w:t>
            </w:r>
            <w:r w:rsidRPr="00795961">
              <w:rPr>
                <w:b/>
                <w:sz w:val="22"/>
              </w:rPr>
              <w:t>784 561 (Семьсот восемьдесят четыре тысячи пятьсот шестьдесят один) рубль 44 копейки, в том числе НДС 20</w:t>
            </w:r>
            <w:r>
              <w:rPr>
                <w:b/>
                <w:sz w:val="22"/>
              </w:rPr>
              <w:t xml:space="preserve"> </w:t>
            </w:r>
            <w:bookmarkStart w:id="0" w:name="_GoBack"/>
            <w:bookmarkEnd w:id="0"/>
            <w:r w:rsidRPr="00795961">
              <w:rPr>
                <w:b/>
                <w:sz w:val="22"/>
              </w:rPr>
              <w:t>% - 130 760,24 рублей.</w:t>
            </w:r>
          </w:p>
          <w:p w:rsidR="00497663" w:rsidRPr="00795961" w:rsidRDefault="00795961" w:rsidP="00795961">
            <w:pPr>
              <w:tabs>
                <w:tab w:val="left" w:pos="1560"/>
              </w:tabs>
              <w:spacing w:after="0" w:line="240" w:lineRule="auto"/>
              <w:jc w:val="both"/>
              <w:rPr>
                <w:sz w:val="22"/>
              </w:rPr>
            </w:pPr>
            <w:r w:rsidRPr="00795961">
              <w:rPr>
                <w:sz w:val="22"/>
              </w:rPr>
              <w:t>Начальная (максимальная) цена контракта включает в себя стоимость Товара,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497663" w:rsidRPr="00795961" w:rsidTr="00795961">
        <w:tc>
          <w:tcPr>
            <w:tcW w:w="2836" w:type="dxa"/>
            <w:tcBorders>
              <w:top w:val="single" w:sz="4" w:space="0" w:color="auto"/>
              <w:left w:val="single" w:sz="4" w:space="0" w:color="auto"/>
              <w:bottom w:val="single" w:sz="4" w:space="0" w:color="auto"/>
              <w:right w:val="single" w:sz="4" w:space="0" w:color="auto"/>
            </w:tcBorders>
            <w:hideMark/>
          </w:tcPr>
          <w:p w:rsidR="00497663" w:rsidRPr="00795961" w:rsidRDefault="00497663" w:rsidP="00F337DC">
            <w:pPr>
              <w:tabs>
                <w:tab w:val="left" w:pos="1560"/>
              </w:tabs>
              <w:spacing w:after="0" w:line="240" w:lineRule="auto"/>
              <w:rPr>
                <w:sz w:val="22"/>
              </w:rPr>
            </w:pPr>
            <w:r w:rsidRPr="00795961">
              <w:rPr>
                <w:sz w:val="22"/>
              </w:rPr>
              <w:t>Расчет НМЦК</w:t>
            </w:r>
          </w:p>
        </w:tc>
        <w:tc>
          <w:tcPr>
            <w:tcW w:w="7512" w:type="dxa"/>
            <w:tcBorders>
              <w:top w:val="single" w:sz="4" w:space="0" w:color="auto"/>
              <w:left w:val="single" w:sz="4" w:space="0" w:color="auto"/>
              <w:bottom w:val="single" w:sz="4" w:space="0" w:color="auto"/>
              <w:right w:val="single" w:sz="4" w:space="0" w:color="auto"/>
            </w:tcBorders>
          </w:tcPr>
          <w:p w:rsidR="00497663" w:rsidRPr="00795961" w:rsidRDefault="00497663" w:rsidP="00F337DC">
            <w:pPr>
              <w:tabs>
                <w:tab w:val="left" w:pos="1560"/>
              </w:tabs>
              <w:spacing w:after="0" w:line="240" w:lineRule="auto"/>
              <w:jc w:val="both"/>
              <w:rPr>
                <w:sz w:val="22"/>
              </w:rPr>
            </w:pPr>
            <w:r w:rsidRPr="00795961">
              <w:rPr>
                <w:sz w:val="22"/>
              </w:rPr>
              <w:t>Согласно приложению на 2 л. в 1 экз.</w:t>
            </w:r>
          </w:p>
        </w:tc>
      </w:tr>
      <w:tr w:rsidR="00497663" w:rsidRPr="00795961" w:rsidTr="00795961">
        <w:tc>
          <w:tcPr>
            <w:tcW w:w="10348" w:type="dxa"/>
            <w:gridSpan w:val="2"/>
            <w:tcBorders>
              <w:top w:val="single" w:sz="4" w:space="0" w:color="auto"/>
              <w:left w:val="single" w:sz="4" w:space="0" w:color="auto"/>
              <w:bottom w:val="single" w:sz="4" w:space="0" w:color="auto"/>
              <w:right w:val="single" w:sz="4" w:space="0" w:color="auto"/>
            </w:tcBorders>
            <w:hideMark/>
          </w:tcPr>
          <w:p w:rsidR="00497663" w:rsidRPr="00795961" w:rsidRDefault="00497663" w:rsidP="00F337DC">
            <w:pPr>
              <w:tabs>
                <w:tab w:val="left" w:pos="1560"/>
              </w:tabs>
              <w:spacing w:after="0" w:line="240" w:lineRule="auto"/>
              <w:rPr>
                <w:sz w:val="22"/>
              </w:rPr>
            </w:pPr>
            <w:r w:rsidRPr="00795961">
              <w:rPr>
                <w:sz w:val="22"/>
              </w:rPr>
              <w:t>Дат</w:t>
            </w:r>
            <w:r w:rsidR="00795961" w:rsidRPr="00795961">
              <w:rPr>
                <w:sz w:val="22"/>
              </w:rPr>
              <w:t xml:space="preserve">а подготовки обоснования НМЦК: </w:t>
            </w:r>
            <w:r w:rsidRPr="00795961">
              <w:rPr>
                <w:sz w:val="22"/>
              </w:rPr>
              <w:t>0</w:t>
            </w:r>
            <w:r w:rsidR="00795961" w:rsidRPr="00795961">
              <w:rPr>
                <w:sz w:val="22"/>
              </w:rPr>
              <w:t>3.03</w:t>
            </w:r>
            <w:r w:rsidRPr="00795961">
              <w:rPr>
                <w:sz w:val="22"/>
              </w:rPr>
              <w:t>.2025 г</w:t>
            </w:r>
          </w:p>
        </w:tc>
      </w:tr>
    </w:tbl>
    <w:p w:rsidR="00497663" w:rsidRPr="00795961" w:rsidRDefault="00795961" w:rsidP="00795961">
      <w:pPr>
        <w:spacing w:after="0" w:line="240" w:lineRule="auto"/>
        <w:ind w:left="-284" w:right="-285" w:firstLine="567"/>
        <w:jc w:val="both"/>
        <w:rPr>
          <w:rFonts w:eastAsia="Times New Roman"/>
          <w:sz w:val="21"/>
          <w:szCs w:val="21"/>
          <w:lang w:eastAsia="ru-RU"/>
        </w:rPr>
      </w:pPr>
      <w:r w:rsidRPr="00795961">
        <w:rPr>
          <w:rFonts w:eastAsia="Times New Roman"/>
          <w:sz w:val="21"/>
          <w:szCs w:val="21"/>
          <w:lang w:eastAsia="ru-RU"/>
        </w:rPr>
        <w:t>В связи с осуществлением закупки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 особенности, предусмотренные подпунктом «в» пункта 7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об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приложении № 1 к Постановлению и (или) приложении № 2 к Постановлению  не применяются.</w:t>
      </w:r>
    </w:p>
    <w:p w:rsidR="00795961" w:rsidRDefault="00497663" w:rsidP="00795961">
      <w:pPr>
        <w:tabs>
          <w:tab w:val="left" w:pos="851"/>
        </w:tabs>
        <w:spacing w:after="0" w:line="240" w:lineRule="auto"/>
        <w:ind w:left="-284" w:right="-285"/>
        <w:jc w:val="both"/>
        <w:rPr>
          <w:sz w:val="24"/>
          <w:szCs w:val="24"/>
        </w:rPr>
      </w:pPr>
      <w:r w:rsidRPr="0026302E">
        <w:rPr>
          <w:sz w:val="24"/>
          <w:szCs w:val="24"/>
        </w:rPr>
        <w:tab/>
      </w:r>
    </w:p>
    <w:p w:rsidR="00497663" w:rsidRPr="00795961" w:rsidRDefault="00497663" w:rsidP="00795961">
      <w:pPr>
        <w:tabs>
          <w:tab w:val="left" w:pos="851"/>
        </w:tabs>
        <w:spacing w:after="0" w:line="240" w:lineRule="auto"/>
        <w:ind w:left="-284" w:right="-285"/>
        <w:jc w:val="both"/>
        <w:rPr>
          <w:sz w:val="22"/>
        </w:rPr>
      </w:pPr>
      <w:r w:rsidRPr="00795961">
        <w:rPr>
          <w:sz w:val="22"/>
        </w:rPr>
        <w:t xml:space="preserve">Приложение: Расчет НМЦК: в соответствии с приказом Минэкономразвития России </w:t>
      </w:r>
      <w:r w:rsidR="0026302E" w:rsidRPr="00795961">
        <w:rPr>
          <w:sz w:val="22"/>
        </w:rPr>
        <w:br/>
      </w:r>
      <w:r w:rsidRPr="00795961">
        <w:rPr>
          <w:sz w:val="22"/>
        </w:rPr>
        <w:t>от 02.10.2013 № 567 на 2 л. в 1 экз.</w:t>
      </w:r>
    </w:p>
    <w:p w:rsidR="00497663" w:rsidRDefault="00497663" w:rsidP="00497663">
      <w:pPr>
        <w:tabs>
          <w:tab w:val="left" w:pos="1560"/>
        </w:tabs>
        <w:spacing w:after="0" w:line="240" w:lineRule="auto"/>
        <w:jc w:val="both"/>
        <w:rPr>
          <w:sz w:val="22"/>
        </w:rPr>
      </w:pPr>
    </w:p>
    <w:p w:rsidR="00497663" w:rsidRPr="002B5163" w:rsidRDefault="00497663" w:rsidP="00497663">
      <w:pPr>
        <w:tabs>
          <w:tab w:val="left" w:pos="1560"/>
        </w:tabs>
        <w:spacing w:after="0" w:line="240" w:lineRule="auto"/>
        <w:jc w:val="both"/>
        <w:rPr>
          <w:sz w:val="22"/>
        </w:rPr>
      </w:pPr>
    </w:p>
    <w:p w:rsidR="008F7C21" w:rsidRPr="00795961" w:rsidRDefault="00497663" w:rsidP="008F7C21">
      <w:pPr>
        <w:spacing w:after="0" w:line="240" w:lineRule="auto"/>
        <w:rPr>
          <w:sz w:val="24"/>
          <w:szCs w:val="24"/>
        </w:rPr>
      </w:pPr>
      <w:r w:rsidRPr="0026302E">
        <w:rPr>
          <w:sz w:val="24"/>
          <w:szCs w:val="24"/>
        </w:rPr>
        <w:t>Заведующий ФЭО                                                             ___________________ /Н.М. Меньщикова/</w:t>
      </w:r>
    </w:p>
    <w:sectPr w:rsidR="008F7C21" w:rsidRPr="00795961" w:rsidSect="0079596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18"/>
    <w:rsid w:val="0026302E"/>
    <w:rsid w:val="00446271"/>
    <w:rsid w:val="00497663"/>
    <w:rsid w:val="00674D18"/>
    <w:rsid w:val="00795961"/>
    <w:rsid w:val="008F7C21"/>
    <w:rsid w:val="0090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7C9B8-37D2-4390-8965-8D020DE6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2025-02-27T15:03:00Z</dcterms:created>
  <dcterms:modified xsi:type="dcterms:W3CDTF">2025-03-27T07:57:00Z</dcterms:modified>
</cp:coreProperties>
</file>