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20" w:rsidRPr="00410818" w:rsidRDefault="009D6520" w:rsidP="009D6520"/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к Извещению о проведении электронного аукциона </w:t>
      </w:r>
    </w:p>
    <w:p w:rsidR="005360B7" w:rsidRPr="005360B7" w:rsidRDefault="005360B7" w:rsidP="00892FB1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на поставку </w:t>
      </w:r>
      <w:r w:rsidR="00892FB1">
        <w:rPr>
          <w:bCs/>
        </w:rPr>
        <w:t>жалюзи</w:t>
      </w:r>
      <w:r w:rsidRPr="005360B7">
        <w:rPr>
          <w:bCs/>
        </w:rPr>
        <w:t xml:space="preserve"> для нужд ИПУ РАН</w:t>
      </w:r>
    </w:p>
    <w:p w:rsidR="005360B7" w:rsidRDefault="005360B7" w:rsidP="00EF7097">
      <w:pPr>
        <w:jc w:val="center"/>
        <w:outlineLvl w:val="0"/>
        <w:rPr>
          <w:b/>
        </w:rPr>
      </w:pPr>
    </w:p>
    <w:p w:rsidR="005360B7" w:rsidRDefault="005360B7" w:rsidP="005360B7">
      <w:pPr>
        <w:outlineLvl w:val="0"/>
        <w:rPr>
          <w:b/>
        </w:rPr>
      </w:pPr>
    </w:p>
    <w:p w:rsidR="005360B7" w:rsidRDefault="005360B7" w:rsidP="00EF7097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F7097" w:rsidRPr="002B5951" w:rsidRDefault="005360B7" w:rsidP="00EF7097">
      <w:pPr>
        <w:jc w:val="center"/>
        <w:outlineLvl w:val="0"/>
        <w:rPr>
          <w:b/>
        </w:rPr>
      </w:pPr>
      <w:r>
        <w:rPr>
          <w:b/>
        </w:rPr>
        <w:t>(</w:t>
      </w:r>
      <w:r w:rsidR="00EF7097" w:rsidRPr="002B5951">
        <w:rPr>
          <w:b/>
        </w:rPr>
        <w:t>Техническое задание</w:t>
      </w:r>
      <w:r>
        <w:rPr>
          <w:b/>
        </w:rPr>
        <w:t>)</w:t>
      </w:r>
    </w:p>
    <w:p w:rsidR="00EF7097" w:rsidRPr="008F77F1" w:rsidRDefault="00EF7097" w:rsidP="008F77F1">
      <w:pPr>
        <w:jc w:val="center"/>
        <w:rPr>
          <w:shd w:val="clear" w:color="auto" w:fill="FFFFFF"/>
        </w:rPr>
      </w:pPr>
      <w:r w:rsidRPr="002B5951">
        <w:t xml:space="preserve">на поставку </w:t>
      </w:r>
      <w:r w:rsidR="00892FB1">
        <w:rPr>
          <w:shd w:val="clear" w:color="auto" w:fill="FFFFFF"/>
        </w:rPr>
        <w:t>жалюзи</w:t>
      </w:r>
      <w:r w:rsidR="00F02F23" w:rsidRPr="00F02F23">
        <w:rPr>
          <w:shd w:val="clear" w:color="auto" w:fill="FFFFFF"/>
        </w:rPr>
        <w:t xml:space="preserve"> для нужд ИПУ РАН</w:t>
      </w:r>
      <w:r w:rsidRPr="002B5951">
        <w:t xml:space="preserve"> </w:t>
      </w:r>
    </w:p>
    <w:p w:rsidR="00EF7097" w:rsidRPr="002B5951" w:rsidRDefault="00EF7097" w:rsidP="00EF7097">
      <w:pPr>
        <w:jc w:val="both"/>
        <w:rPr>
          <w:b/>
        </w:rPr>
      </w:pPr>
    </w:p>
    <w:p w:rsidR="00892FB1" w:rsidRDefault="00892FB1" w:rsidP="00892FB1">
      <w:pPr>
        <w:ind w:firstLine="567"/>
        <w:jc w:val="both"/>
        <w:rPr>
          <w:rFonts w:eastAsia="Times New Roman"/>
          <w:b/>
          <w:color w:val="FF0000"/>
          <w:lang w:eastAsia="ru-RU"/>
        </w:rPr>
      </w:pPr>
      <w:r w:rsidRPr="00265526">
        <w:rPr>
          <w:rFonts w:eastAsia="Times New Roman"/>
          <w:b/>
          <w:lang w:eastAsia="ru-RU"/>
        </w:rPr>
        <w:t>1.</w:t>
      </w:r>
      <w:r w:rsidRPr="00265526">
        <w:rPr>
          <w:rFonts w:eastAsia="Times New Roman"/>
          <w:lang w:eastAsia="ru-RU"/>
        </w:rPr>
        <w:t xml:space="preserve"> </w:t>
      </w:r>
      <w:r w:rsidRPr="00265526">
        <w:rPr>
          <w:rFonts w:eastAsia="Times New Roman"/>
          <w:b/>
          <w:lang w:eastAsia="ru-RU"/>
        </w:rPr>
        <w:t xml:space="preserve">Объект закупки: </w:t>
      </w:r>
      <w:r w:rsidRPr="00261A6A">
        <w:rPr>
          <w:rFonts w:eastAsia="Times New Roman"/>
          <w:lang w:eastAsia="ru-RU"/>
        </w:rPr>
        <w:t>поставка</w:t>
      </w:r>
      <w:r>
        <w:rPr>
          <w:rFonts w:eastAsia="Times New Roman"/>
          <w:b/>
          <w:lang w:eastAsia="ru-RU"/>
        </w:rPr>
        <w:t xml:space="preserve"> </w:t>
      </w:r>
      <w:r w:rsidRPr="00C04560">
        <w:rPr>
          <w:rFonts w:eastAsia="Times New Roman" w:hint="eastAsia"/>
          <w:lang w:eastAsia="ru-RU"/>
        </w:rPr>
        <w:t>жалюзи для нужд ИПУ РАН (далее - Товар).</w:t>
      </w:r>
    </w:p>
    <w:p w:rsidR="00892FB1" w:rsidRDefault="00892FB1" w:rsidP="00892FB1">
      <w:pPr>
        <w:ind w:firstLine="567"/>
        <w:jc w:val="both"/>
        <w:rPr>
          <w:rFonts w:eastAsia="Times New Roman"/>
          <w:b/>
          <w:color w:val="FF0000"/>
          <w:lang w:eastAsia="ru-RU"/>
        </w:rPr>
      </w:pPr>
      <w:r w:rsidRPr="00265526">
        <w:rPr>
          <w:rFonts w:eastAsia="Times New Roman"/>
          <w:b/>
          <w:lang w:eastAsia="ru-RU"/>
        </w:rPr>
        <w:t>2. Краткие характеристики поставляемого Товара</w:t>
      </w:r>
      <w:r w:rsidRPr="00265526">
        <w:rPr>
          <w:rFonts w:eastAsia="Times New Roman"/>
          <w:lang w:eastAsia="ru-RU"/>
        </w:rPr>
        <w:t xml:space="preserve">: </w:t>
      </w:r>
      <w:r>
        <w:rPr>
          <w:rFonts w:eastAsia="Times New Roman" w:hint="eastAsia"/>
          <w:lang w:eastAsia="ru-RU"/>
        </w:rPr>
        <w:t xml:space="preserve">в соответствии с Приложением № </w:t>
      </w:r>
      <w:r>
        <w:rPr>
          <w:rFonts w:eastAsia="Times New Roman"/>
          <w:lang w:eastAsia="ru-RU"/>
        </w:rPr>
        <w:t xml:space="preserve">1 </w:t>
      </w:r>
      <w:r w:rsidRPr="00180515">
        <w:rPr>
          <w:rFonts w:eastAsia="Times New Roman" w:hint="eastAsia"/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  <w:r>
        <w:rPr>
          <w:rFonts w:eastAsia="Times New Roman"/>
          <w:lang w:eastAsia="ru-RU"/>
        </w:rPr>
        <w:t xml:space="preserve"> </w:t>
      </w:r>
    </w:p>
    <w:p w:rsidR="00892FB1" w:rsidRPr="00892FB1" w:rsidRDefault="00892FB1" w:rsidP="00892FB1">
      <w:pPr>
        <w:ind w:firstLine="567"/>
        <w:jc w:val="both"/>
        <w:rPr>
          <w:rFonts w:eastAsia="Times New Roman"/>
          <w:b/>
          <w:color w:val="FF0000"/>
          <w:lang w:eastAsia="ru-RU"/>
        </w:rPr>
      </w:pPr>
      <w:r w:rsidRPr="00053913">
        <w:rPr>
          <w:rFonts w:eastAsia="Times New Roman"/>
          <w:lang w:eastAsia="ru-RU"/>
        </w:rPr>
        <w:t>Товар долж</w:t>
      </w:r>
      <w:r>
        <w:rPr>
          <w:rFonts w:eastAsia="Times New Roman"/>
          <w:lang w:eastAsia="ru-RU"/>
        </w:rPr>
        <w:t>ен</w:t>
      </w:r>
      <w:r w:rsidRPr="00053913">
        <w:rPr>
          <w:rFonts w:eastAsia="Times New Roman"/>
          <w:lang w:eastAsia="ru-RU"/>
        </w:rPr>
        <w:t xml:space="preserve"> соответствовать или превышать требования Технического задания </w:t>
      </w:r>
      <w:r>
        <w:rPr>
          <w:rFonts w:eastAsia="Times New Roman"/>
          <w:lang w:eastAsia="ru-RU"/>
        </w:rPr>
        <w:t xml:space="preserve">                                 </w:t>
      </w:r>
      <w:r w:rsidRPr="00053913">
        <w:rPr>
          <w:rFonts w:eastAsia="Times New Roman"/>
          <w:lang w:eastAsia="ru-RU"/>
        </w:rPr>
        <w:t>по функциональным, техническим, качественным, эксплуатационным и эргономическим показателям, указанным в Приложении №1 к Техническому заданию.</w:t>
      </w:r>
    </w:p>
    <w:p w:rsidR="00892FB1" w:rsidRDefault="00892FB1" w:rsidP="00892FB1">
      <w:pPr>
        <w:jc w:val="both"/>
        <w:rPr>
          <w:rFonts w:eastAsia="Times New Roman"/>
          <w:bCs/>
          <w:lang w:eastAsia="ru-RU"/>
        </w:rPr>
      </w:pPr>
      <w:r w:rsidRPr="00053913">
        <w:rPr>
          <w:rFonts w:eastAsia="Times New Roman"/>
          <w:bCs/>
          <w:lang w:eastAsia="ru-RU"/>
        </w:rPr>
        <w:t xml:space="preserve">Код ОКПД 2: </w:t>
      </w:r>
      <w:r w:rsidRPr="00647F6E">
        <w:rPr>
          <w:rFonts w:eastAsia="Times New Roman" w:hint="eastAsia"/>
          <w:bCs/>
          <w:lang w:eastAsia="ru-RU"/>
        </w:rPr>
        <w:t>13.92.22.120 — Навесы и маркизы (шторы от солнца)</w:t>
      </w:r>
      <w:r>
        <w:rPr>
          <w:rFonts w:eastAsia="Times New Roman"/>
          <w:bCs/>
          <w:lang w:eastAsia="ru-RU"/>
        </w:rPr>
        <w:t>;</w:t>
      </w:r>
      <w:r w:rsidRPr="00647F6E">
        <w:rPr>
          <w:rFonts w:eastAsia="Times New Roman"/>
          <w:bCs/>
          <w:lang w:eastAsia="ru-RU"/>
        </w:rPr>
        <w:t xml:space="preserve"> </w:t>
      </w:r>
    </w:p>
    <w:p w:rsidR="00892FB1" w:rsidRDefault="00892FB1" w:rsidP="00892FB1">
      <w:pPr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КТРУ: </w:t>
      </w:r>
      <w:r w:rsidRPr="00647F6E">
        <w:rPr>
          <w:rFonts w:eastAsia="Times New Roman" w:hint="eastAsia"/>
          <w:bCs/>
          <w:lang w:eastAsia="ru-RU"/>
        </w:rPr>
        <w:t>13.92.22.120</w:t>
      </w:r>
      <w:r>
        <w:rPr>
          <w:rFonts w:eastAsia="Times New Roman"/>
          <w:bCs/>
          <w:lang w:eastAsia="ru-RU"/>
        </w:rPr>
        <w:t>-</w:t>
      </w:r>
      <w:r w:rsidRPr="00654CE3">
        <w:rPr>
          <w:rFonts w:eastAsia="Times New Roman" w:hint="eastAsia"/>
          <w:bCs/>
          <w:lang w:eastAsia="ru-RU"/>
        </w:rPr>
        <w:t>00000017</w:t>
      </w:r>
      <w:r>
        <w:rPr>
          <w:rFonts w:eastAsia="Times New Roman"/>
          <w:bCs/>
          <w:lang w:eastAsia="ru-RU"/>
        </w:rPr>
        <w:t xml:space="preserve">- </w:t>
      </w:r>
      <w:r w:rsidRPr="00654CE3">
        <w:rPr>
          <w:rFonts w:eastAsia="Times New Roman" w:hint="eastAsia"/>
          <w:bCs/>
          <w:lang w:eastAsia="ru-RU"/>
        </w:rPr>
        <w:t>Жалюзи оконные</w:t>
      </w:r>
      <w:r>
        <w:rPr>
          <w:rFonts w:eastAsia="Times New Roman"/>
          <w:bCs/>
          <w:lang w:eastAsia="ru-RU"/>
        </w:rPr>
        <w:t>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265526">
        <w:rPr>
          <w:rFonts w:eastAsia="Times New Roman"/>
          <w:b/>
          <w:lang w:eastAsia="ru-RU"/>
        </w:rPr>
        <w:t>3</w:t>
      </w:r>
      <w:r w:rsidRPr="00265526">
        <w:rPr>
          <w:rFonts w:eastAsia="Times New Roman"/>
          <w:lang w:eastAsia="ru-RU"/>
        </w:rPr>
        <w:t xml:space="preserve">. </w:t>
      </w:r>
      <w:r w:rsidRPr="00265526">
        <w:rPr>
          <w:rFonts w:eastAsia="Times New Roman"/>
          <w:b/>
          <w:lang w:eastAsia="ru-RU"/>
        </w:rPr>
        <w:t xml:space="preserve">Перечень и количество поставляемого Товара: </w:t>
      </w:r>
      <w:r w:rsidRPr="00180515">
        <w:rPr>
          <w:rFonts w:eastAsia="Times New Roman"/>
          <w:lang w:eastAsia="ru-RU"/>
        </w:rPr>
        <w:t>общее коли</w:t>
      </w:r>
      <w:r>
        <w:rPr>
          <w:rFonts w:eastAsia="Times New Roman"/>
          <w:lang w:eastAsia="ru-RU"/>
        </w:rPr>
        <w:t>чество поставляемого Товара по 1 (одной) номенклатурной позиции</w:t>
      </w:r>
      <w:r w:rsidRPr="00180515">
        <w:rPr>
          <w:rFonts w:eastAsia="Times New Roman"/>
          <w:lang w:eastAsia="ru-RU"/>
        </w:rPr>
        <w:t xml:space="preserve"> – </w:t>
      </w:r>
      <w:r>
        <w:rPr>
          <w:rFonts w:eastAsia="Times New Roman" w:hint="eastAsia"/>
          <w:lang w:eastAsia="ru-RU"/>
        </w:rPr>
        <w:t>30 (Тридцать</w:t>
      </w:r>
      <w:r w:rsidRPr="00180515">
        <w:rPr>
          <w:rFonts w:eastAsia="Times New Roman"/>
          <w:lang w:eastAsia="ru-RU"/>
        </w:rPr>
        <w:t>) штук, в</w:t>
      </w:r>
      <w:r>
        <w:rPr>
          <w:rFonts w:eastAsia="Times New Roman"/>
          <w:lang w:eastAsia="ru-RU"/>
        </w:rPr>
        <w:t xml:space="preserve"> соответствии с Приложением № 1 </w:t>
      </w:r>
      <w:r w:rsidRPr="00180515">
        <w:rPr>
          <w:rFonts w:eastAsia="Times New Roman"/>
          <w:lang w:eastAsia="ru-RU"/>
        </w:rPr>
        <w:t>к Контракту «</w:t>
      </w:r>
      <w:r w:rsidRPr="00180515">
        <w:rPr>
          <w:rFonts w:eastAsia="Times New Roman" w:hint="eastAsia"/>
          <w:lang w:eastAsia="ru-RU"/>
        </w:rPr>
        <w:t>Спецификация на поставку жалюзи для нужд ИПУ РАН</w:t>
      </w:r>
      <w:r w:rsidRPr="00180515">
        <w:rPr>
          <w:rFonts w:eastAsia="Times New Roman"/>
          <w:lang w:eastAsia="ru-RU"/>
        </w:rPr>
        <w:t>», являющимся его неотъемлемой его частью.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265526">
        <w:rPr>
          <w:rFonts w:eastAsia="Times New Roman"/>
          <w:b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  <w:bCs/>
        </w:rPr>
        <w:t xml:space="preserve">Поставляемый Товар и его составляющие должен быть новым, не </w:t>
      </w:r>
      <w:r>
        <w:rPr>
          <w:rFonts w:eastAsia="Times New Roman"/>
          <w:bCs/>
        </w:rPr>
        <w:t>ранее 2022</w:t>
      </w:r>
      <w:r w:rsidRPr="008C6C09">
        <w:rPr>
          <w:rFonts w:eastAsia="Times New Roman"/>
          <w:bCs/>
        </w:rPr>
        <w:t xml:space="preserve"> года выпуска, изготовлен в соответствии с требованиями, установленными законодательством Российской Федерации.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>для доставки Товара Заказчику, погрузо-разгрузочных работах и хранении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>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Требования к упаковке Товара должны соответствовать Решению Комиссии Та</w:t>
      </w:r>
      <w:r>
        <w:rPr>
          <w:rFonts w:eastAsia="Times New Roman"/>
        </w:rPr>
        <w:t xml:space="preserve">моженного союза от 16.08.2011 № 769 </w:t>
      </w:r>
      <w:r w:rsidRPr="008C6C09">
        <w:rPr>
          <w:rFonts w:eastAsia="Times New Roman"/>
        </w:rPr>
        <w:t>«О принятии техническо</w:t>
      </w:r>
      <w:r>
        <w:rPr>
          <w:rFonts w:eastAsia="Times New Roman"/>
        </w:rPr>
        <w:t xml:space="preserve">го регламента Таможенного союза </w:t>
      </w:r>
      <w:r w:rsidRPr="008C6C09">
        <w:rPr>
          <w:rFonts w:eastAsia="Times New Roman"/>
        </w:rPr>
        <w:t>«О безопасности упаковки», ГОСТ 17527-2020 «Упаковка. Термины и определения».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 xml:space="preserve">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8C6C09">
        <w:rPr>
          <w:rFonts w:eastAsia="Times New Roman"/>
          <w:bCs/>
        </w:rPr>
        <w:t>гарантийном сроке на Товар и дате изготовления Товара</w:t>
      </w:r>
      <w:r w:rsidRPr="008C6C09">
        <w:rPr>
          <w:rFonts w:eastAsia="Times New Roman"/>
        </w:rPr>
        <w:t>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Поставщик гарантирует качество и безопасность поставляемого Товара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 xml:space="preserve">в соответствии </w:t>
      </w:r>
      <w:r>
        <w:rPr>
          <w:rFonts w:eastAsia="Times New Roman"/>
        </w:rPr>
        <w:t xml:space="preserve">                                        </w:t>
      </w:r>
      <w:r w:rsidRPr="008C6C09">
        <w:rPr>
          <w:rFonts w:eastAsia="Times New Roman"/>
        </w:rPr>
        <w:t xml:space="preserve">с действующими стандартами, утвержденными на соответствующий вид Товара, и наличием </w:t>
      </w:r>
      <w:r w:rsidRPr="008C6C09">
        <w:rPr>
          <w:rFonts w:eastAsia="Times New Roman"/>
        </w:rPr>
        <w:lastRenderedPageBreak/>
        <w:t>сертификатов, обязательных для Товара, оформленных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>
        <w:rPr>
          <w:rFonts w:eastAsia="Times New Roman"/>
        </w:rPr>
        <w:t xml:space="preserve"> в известность Заказчика </w:t>
      </w:r>
      <w:r w:rsidRPr="008C6C09">
        <w:rPr>
          <w:rFonts w:eastAsia="Times New Roman"/>
        </w:rPr>
        <w:t>с учетом условий Контракта.</w:t>
      </w:r>
    </w:p>
    <w:p w:rsidR="00D05628" w:rsidRDefault="00892FB1" w:rsidP="00892FB1">
      <w:pPr>
        <w:ind w:firstLine="567"/>
        <w:jc w:val="both"/>
        <w:rPr>
          <w:rFonts w:eastAsia="Times New Roman"/>
        </w:rPr>
      </w:pPr>
      <w:r w:rsidRPr="008C6C09">
        <w:rPr>
          <w:rFonts w:eastAsia="Times New Roman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месяцев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 xml:space="preserve">с даты подписания </w:t>
      </w:r>
      <w:r w:rsidR="00D05628" w:rsidRPr="00D05628">
        <w:rPr>
          <w:rFonts w:eastAsia="Times New Roman"/>
        </w:rPr>
        <w:t>Заказчиком документа о приемке</w:t>
      </w:r>
      <w:r w:rsidR="00D05628">
        <w:rPr>
          <w:rFonts w:eastAsia="Times New Roman"/>
        </w:rPr>
        <w:t>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>не более 20 (двадцати) дней с даты письменного получения такого требования (уведомления) Заказчика.</w:t>
      </w:r>
    </w:p>
    <w:p w:rsid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Поставщик предост</w:t>
      </w:r>
      <w:bookmarkStart w:id="0" w:name="_GoBack"/>
      <w:bookmarkEnd w:id="0"/>
      <w:r w:rsidRPr="008C6C09">
        <w:rPr>
          <w:rFonts w:eastAsia="Times New Roman"/>
        </w:rPr>
        <w:t>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92FB1" w:rsidRPr="00892FB1" w:rsidRDefault="00892FB1" w:rsidP="00892FB1">
      <w:pPr>
        <w:ind w:firstLine="567"/>
        <w:jc w:val="both"/>
        <w:rPr>
          <w:rFonts w:eastAsia="Times New Roman"/>
          <w:bCs/>
          <w:lang w:eastAsia="ru-RU"/>
        </w:rPr>
      </w:pPr>
      <w:r w:rsidRPr="008C6C09">
        <w:rPr>
          <w:rFonts w:eastAsia="Times New Roma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8C6C09">
        <w:rPr>
          <w:rFonts w:eastAsia="Times New Roman"/>
        </w:rPr>
        <w:t>Товар должен иметь сертификаты или санитарно-гигиенические заключения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>и иные документы, подтверждающие качество Товара, оформленные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>в соответствии с законодательством Российской Федерации.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8C6C09">
        <w:rPr>
          <w:rFonts w:eastAsia="Times New Roman"/>
        </w:rPr>
        <w:t>Поставляемый Товар долж</w:t>
      </w:r>
      <w:r w:rsidR="00D05628">
        <w:rPr>
          <w:rFonts w:eastAsia="Times New Roman"/>
        </w:rPr>
        <w:t>ен быть экологически чистым</w:t>
      </w:r>
      <w:r w:rsidRPr="008C6C09">
        <w:rPr>
          <w:rFonts w:eastAsia="Times New Roman"/>
        </w:rPr>
        <w:t>, безопасным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>для здоровья человека.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8C6C09">
        <w:rPr>
          <w:rFonts w:eastAsia="Times New Roman"/>
        </w:rPr>
        <w:t>Поставляемый Товар долж</w:t>
      </w:r>
      <w:r w:rsidR="00D05628">
        <w:rPr>
          <w:rFonts w:eastAsia="Times New Roman"/>
        </w:rPr>
        <w:t>ен</w:t>
      </w:r>
      <w:r w:rsidRPr="008C6C09">
        <w:rPr>
          <w:rFonts w:eastAsia="Times New Roman"/>
        </w:rPr>
        <w:t xml:space="preserve"> соответствовать требованиям, установленным ГОСТ, СанПиН, другим нормам и правилам для данного вида Товара.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8C6C09">
        <w:rPr>
          <w:rFonts w:eastAsia="Times New Roma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8C6C09">
        <w:rPr>
          <w:rFonts w:eastAsia="Times New Roma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</w:t>
      </w:r>
      <w:r>
        <w:rPr>
          <w:rFonts w:eastAsia="Times New Roman"/>
        </w:rPr>
        <w:t xml:space="preserve"> </w:t>
      </w:r>
      <w:r w:rsidRPr="008C6C09">
        <w:rPr>
          <w:rFonts w:eastAsia="Times New Roman"/>
        </w:rPr>
        <w:t xml:space="preserve">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</w:t>
      </w:r>
      <w:r>
        <w:rPr>
          <w:rFonts w:eastAsia="Times New Roman"/>
        </w:rPr>
        <w:t>Товара</w:t>
      </w:r>
      <w:r w:rsidRPr="008C6C09">
        <w:rPr>
          <w:rFonts w:eastAsia="Times New Roman"/>
        </w:rPr>
        <w:t>).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6310B0">
        <w:rPr>
          <w:rFonts w:eastAsia="Times New Roman" w:hint="eastAsia"/>
        </w:rPr>
        <w:t>Поставляемый Товар должен соответствовать требованиям: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6310B0">
        <w:rPr>
          <w:rFonts w:eastAsia="Times New Roman" w:hint="eastAsia"/>
        </w:rPr>
        <w:t xml:space="preserve">- </w:t>
      </w:r>
      <w:r>
        <w:rPr>
          <w:rFonts w:eastAsia="Times New Roman"/>
        </w:rPr>
        <w:t>П</w:t>
      </w:r>
      <w:r w:rsidRPr="006310B0">
        <w:rPr>
          <w:rFonts w:eastAsia="Times New Roman" w:hint="eastAsia"/>
        </w:rPr>
        <w:t>остановлению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</w:t>
      </w:r>
      <w:r>
        <w:rPr>
          <w:rFonts w:eastAsia="Times New Roman" w:hint="eastAsia"/>
        </w:rPr>
        <w:t>ятия декларации о соответствии»;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192C0F">
        <w:rPr>
          <w:rFonts w:eastAsia="Times New Roman" w:hint="eastAsia"/>
        </w:rPr>
        <w:t>ГОСТ Р 54863-2011</w:t>
      </w:r>
      <w:r w:rsidRPr="00192C0F">
        <w:rPr>
          <w:rFonts w:hint="eastAsia"/>
        </w:rPr>
        <w:t xml:space="preserve"> </w:t>
      </w:r>
      <w:r w:rsidRPr="006310B0">
        <w:rPr>
          <w:rFonts w:eastAsia="Times New Roman" w:hint="eastAsia"/>
        </w:rPr>
        <w:t>«</w:t>
      </w:r>
      <w:r>
        <w:rPr>
          <w:rFonts w:eastAsia="Times New Roman" w:hint="eastAsia"/>
        </w:rPr>
        <w:t>Жалюзи и ставни.</w:t>
      </w:r>
      <w:r>
        <w:rPr>
          <w:rFonts w:eastAsia="Times New Roman"/>
        </w:rPr>
        <w:t xml:space="preserve"> </w:t>
      </w:r>
      <w:r w:rsidRPr="00192C0F">
        <w:rPr>
          <w:rFonts w:eastAsia="Times New Roman" w:hint="eastAsia"/>
        </w:rPr>
        <w:t>Определение дополнительного термического сопротивления</w:t>
      </w:r>
      <w:r>
        <w:rPr>
          <w:rFonts w:eastAsia="Times New Roman"/>
        </w:rPr>
        <w:t>».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265526">
        <w:rPr>
          <w:b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265526">
        <w:rPr>
          <w:rFonts w:eastAsia="Times New Roman"/>
          <w:b/>
          <w:lang w:eastAsia="ru-RU"/>
        </w:rPr>
        <w:t>: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C37B5F">
        <w:rPr>
          <w:rFonts w:eastAsia="Times New Roman" w:hint="eastAsia"/>
          <w:lang w:eastAsia="ru-RU"/>
        </w:rPr>
        <w:t>Поставщик обязан согласовать с Заказчиком точное время и конкретную дату поставки</w:t>
      </w:r>
      <w:r>
        <w:rPr>
          <w:rFonts w:eastAsia="Times New Roman"/>
          <w:lang w:eastAsia="ru-RU"/>
        </w:rPr>
        <w:t xml:space="preserve"> Товара</w:t>
      </w:r>
      <w:r w:rsidRPr="00C37B5F">
        <w:rPr>
          <w:rFonts w:eastAsia="Times New Roman" w:hint="eastAsia"/>
          <w:lang w:eastAsia="ru-RU"/>
        </w:rPr>
        <w:t xml:space="preserve">. Поставка Товара должна осуществляться в рабочие дни с 9 ч. 30 мин по 18 ч. 15 мин. </w:t>
      </w:r>
      <w:r>
        <w:rPr>
          <w:rFonts w:eastAsia="Times New Roman"/>
          <w:lang w:eastAsia="ru-RU"/>
        </w:rPr>
        <w:t xml:space="preserve">                           </w:t>
      </w:r>
      <w:r w:rsidRPr="00C37B5F">
        <w:rPr>
          <w:rFonts w:eastAsia="Times New Roman" w:hint="eastAsia"/>
          <w:lang w:eastAsia="ru-RU"/>
        </w:rPr>
        <w:t xml:space="preserve">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:rsidR="00892FB1" w:rsidRDefault="00892FB1" w:rsidP="00892FB1">
      <w:pPr>
        <w:ind w:firstLine="567"/>
        <w:jc w:val="both"/>
        <w:rPr>
          <w:rFonts w:eastAsia="Times New Roman"/>
        </w:rPr>
      </w:pPr>
      <w:r w:rsidRPr="00C37B5F">
        <w:rPr>
          <w:rFonts w:eastAsia="Times New Roman" w:hint="eastAsia"/>
          <w:lang w:eastAsia="ru-RU"/>
        </w:rPr>
        <w:t>Срок поставки Товара (включ</w:t>
      </w:r>
      <w:r>
        <w:rPr>
          <w:rFonts w:eastAsia="Times New Roman" w:hint="eastAsia"/>
          <w:lang w:eastAsia="ru-RU"/>
        </w:rPr>
        <w:t>ая замеры и монтаж) в течение 14</w:t>
      </w:r>
      <w:r w:rsidRPr="00C37B5F">
        <w:rPr>
          <w:rFonts w:eastAsia="Times New Roman" w:hint="eastAsia"/>
          <w:lang w:eastAsia="ru-RU"/>
        </w:rPr>
        <w:t xml:space="preserve"> (</w:t>
      </w:r>
      <w:r>
        <w:rPr>
          <w:rFonts w:eastAsia="Times New Roman" w:hint="eastAsia"/>
          <w:lang w:eastAsia="ru-RU"/>
        </w:rPr>
        <w:t>четырнадцати</w:t>
      </w:r>
      <w:r w:rsidRPr="00C37B5F">
        <w:rPr>
          <w:rFonts w:eastAsia="Times New Roman" w:hint="eastAsia"/>
          <w:lang w:eastAsia="ru-RU"/>
        </w:rPr>
        <w:t xml:space="preserve">) </w:t>
      </w:r>
      <w:r>
        <w:rPr>
          <w:rFonts w:eastAsia="Times New Roman" w:hint="eastAsia"/>
          <w:lang w:eastAsia="ru-RU"/>
        </w:rPr>
        <w:t>рабочих</w:t>
      </w:r>
      <w:r>
        <w:rPr>
          <w:rFonts w:eastAsia="Times New Roman"/>
          <w:lang w:eastAsia="ru-RU"/>
        </w:rPr>
        <w:t xml:space="preserve"> </w:t>
      </w:r>
      <w:r w:rsidRPr="00C37B5F">
        <w:rPr>
          <w:rFonts w:eastAsia="Times New Roman" w:hint="eastAsia"/>
          <w:lang w:eastAsia="ru-RU"/>
        </w:rPr>
        <w:t>дней с даты заключения Контракта.</w:t>
      </w:r>
    </w:p>
    <w:p w:rsidR="00892FB1" w:rsidRP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>5.1.</w:t>
      </w:r>
      <w:r w:rsidRPr="00892FB1">
        <w:rPr>
          <w:lang w:eastAsia="en-US"/>
        </w:rPr>
        <w:t xml:space="preserve"> По результатам проведенных замеров возможна незначительная корректировка с целью обеспечения правильного монтажа на перекрытия оконного проема. 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 xml:space="preserve">Поставляемый Товар должен быть доставлен Заказчику и разгружен в указанное </w:t>
      </w:r>
      <w:r w:rsidRPr="00892FB1">
        <w:rPr>
          <w:lang w:eastAsia="en-US"/>
        </w:rPr>
        <w:lastRenderedPageBreak/>
        <w:t>Заказчиком помещение.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rFonts w:eastAsia="Times New Roman"/>
          <w:b/>
          <w:lang w:eastAsia="ru-RU"/>
        </w:rPr>
        <w:t>Монтаж Товара должен осуществляться Поставщиком в условиях действующего Объекта Заказчика с использованием собственного оборудования, инструментов, из своих материалов и за счет Поставщика, собственными средствами либо привлеченными силами и средствами</w:t>
      </w:r>
      <w:r w:rsidRPr="00892FB1">
        <w:rPr>
          <w:rFonts w:eastAsia="Times New Roman"/>
          <w:lang w:eastAsia="ru-RU"/>
        </w:rPr>
        <w:t>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rFonts w:eastAsia="Times New Roman"/>
          <w:lang w:eastAsia="ru-RU"/>
        </w:rPr>
        <w:t>Работы по монтажу должны быть проведены без нарушения функционального назначения здания (без отселения и нарушения графика и ритма работ сот</w:t>
      </w:r>
      <w:r>
        <w:rPr>
          <w:rFonts w:eastAsia="Times New Roman"/>
          <w:lang w:eastAsia="ru-RU"/>
        </w:rPr>
        <w:t xml:space="preserve">рудников) в часы, согласованные </w:t>
      </w:r>
      <w:r w:rsidRPr="00892FB1">
        <w:rPr>
          <w:rFonts w:eastAsia="Times New Roman"/>
          <w:lang w:eastAsia="ru-RU"/>
        </w:rPr>
        <w:t>с Заказчиком.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Перед монтажом необходимо выполнить все подготовительные работы, в том числе согласовать с Заказчиком окончательное место установки Товара.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>5.2.</w:t>
      </w:r>
      <w:r w:rsidRPr="00892FB1">
        <w:rPr>
          <w:lang w:eastAsia="en-US"/>
        </w:rPr>
        <w:t xml:space="preserve"> В комплект поставляемого Товара должны входить все комплектующие, необходимые для его сборки и монтажа: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 xml:space="preserve">- Комплектация вертикальных жалюзи: 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 xml:space="preserve">1. Карниз (Профиль алюминиевый)                 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2. Стержень поворотный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3. Колечко на стержень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4. Бегунок 3-го поколения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5. Дистанция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6. Ограничитель дистанции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7. Механизм управления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8. Вставка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9. Шуруп для механизма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10. Держатель ламели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 xml:space="preserve">11. Грузик нижний 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12. Веревка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13. Груз веревки комплект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14. Цепь нижняя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15. Замок цепи управления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16. Стопор магнитный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17. Уголок к фиксатору веревки, металлический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18. Фиксатор веревки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19. С-клип (держатель 1-го бегунка)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20. Крепеж (болт-гайка)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21. Кронштейн потолочный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22. Ламели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>5.3. Описание конструкции: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Вертикальные жалюзи состоят из алюминиевого карниза с вертикальными ламелями шириной не менее 89,0 мм и не более 92,0 мм и толщиной не менее 0,3 мм и не более 0,4 мм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Вертикальные жалюзи сдвигаются влево/вправо, поворачиваются.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92FB1">
        <w:rPr>
          <w:lang w:eastAsia="en-US"/>
        </w:rPr>
        <w:t xml:space="preserve">Ламели крепятся к карнизу держателями. Снизу ламели скреплены между собой соединительной цепью. Устойчивость ламелей обеспечивается при помощи нижних грузиков, вшитых </w:t>
      </w:r>
      <w:r>
        <w:rPr>
          <w:lang w:eastAsia="en-US"/>
        </w:rPr>
        <w:t>в нижний край тканевых ламелей.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 xml:space="preserve">5.4. Виды жалюзи, предусмотренные Контрактом: 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- Тканевые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Форма жалюзи: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92FB1">
        <w:rPr>
          <w:lang w:eastAsia="en-US"/>
        </w:rPr>
        <w:t>- Стандартные - вертикальные жалюзи крепятся к карнизу. Все ламели одной длины.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>5.5. Основные термины: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Ламели - полоски ткани или другого материала, составляющие полотно жалюзи.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Карниз - несущая часть, к которой крепят ламели.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Потолочный кронштейн (скоба) - металлический крепежный элемент, который присоединяют либо к стеновым кронштейнам при помощи болта и гайки, либо крепят к потолку для присоединения карниза.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Бегунки - составная часть вертикальных жалюзи, необходимая для передвижения, а также для поворота ламелей.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 xml:space="preserve">Нижний грузик - небольшая пластина, которую фиксируют в нижней части ламели для </w:t>
      </w:r>
      <w:r w:rsidRPr="00892FB1">
        <w:rPr>
          <w:lang w:eastAsia="en-US"/>
        </w:rPr>
        <w:lastRenderedPageBreak/>
        <w:t>отвеса.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Цепь управления - служит для разворота ламелей вокруг своей оси на любой угол до 180</w:t>
      </w:r>
      <w:r w:rsidRPr="00892FB1">
        <w:rPr>
          <w:vertAlign w:val="superscript"/>
          <w:lang w:eastAsia="en-US"/>
        </w:rPr>
        <w:t>0</w:t>
      </w:r>
      <w:r w:rsidRPr="00892FB1">
        <w:rPr>
          <w:lang w:eastAsia="en-US"/>
        </w:rPr>
        <w:t>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Веревка - служит для передвижения ламелей в одну или обе стороны.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Нижняя цепь - цепочка для соединения между собой ламелей в нижней части жалюзи.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>5.6. Управление вертикальными жалюзи.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>5.6.1</w:t>
      </w:r>
      <w:r w:rsidRPr="00892FB1">
        <w:rPr>
          <w:lang w:eastAsia="en-US"/>
        </w:rPr>
        <w:t xml:space="preserve"> Типы управления вертикальными стандартными жалюзи: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1. Ламели двигаются в сторону веревки управления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2. Ламели двигаются от центра в стороны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3. Ламели двигаются в сторону, противоположную веревке управления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en-US"/>
        </w:rPr>
        <w:t>5.6.2.Управление вертикальными жалюзи: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Управление вертикальными жалюзи осуществляется с помощью веревки и управляющей цепи. Веревкой регулируется движение ламелей вдоль карниза, а управляющей цепью – их разворот.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Управляющая цепь позволяет поворачивать ламели жалюзи на 180</w:t>
      </w:r>
      <w:r w:rsidRPr="00892FB1">
        <w:rPr>
          <w:vertAlign w:val="superscript"/>
          <w:lang w:eastAsia="en-US"/>
        </w:rPr>
        <w:t>0</w:t>
      </w:r>
      <w:r w:rsidRPr="00892FB1">
        <w:rPr>
          <w:lang w:eastAsia="en-US"/>
        </w:rPr>
        <w:t>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lang w:eastAsia="en-US"/>
        </w:rPr>
        <w:t>Верёвка сдвигает ламели в зависимости от типа управления.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b/>
          <w:lang w:eastAsia="ru-RU"/>
        </w:rPr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892FB1">
        <w:rPr>
          <w:rFonts w:eastAsia="Times New Roman"/>
          <w:b/>
          <w:lang w:eastAsia="ru-RU"/>
        </w:rPr>
        <w:t xml:space="preserve">: </w:t>
      </w:r>
      <w:r w:rsidRPr="00892FB1">
        <w:rPr>
          <w:rFonts w:eastAsia="Times New Roman"/>
          <w:lang w:eastAsia="ru-RU"/>
        </w:rPr>
        <w:t>в соответствии с условиями Контракта.</w:t>
      </w:r>
    </w:p>
    <w:p w:rsid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rFonts w:eastAsia="Times New Roman"/>
          <w:b/>
          <w:lang w:eastAsia="ru-RU"/>
        </w:rPr>
        <w:t>7. Качественные и количественные характеристики поставляемых Товара, выполняемых работ, оказываемых услуг:</w:t>
      </w:r>
    </w:p>
    <w:p w:rsidR="00892FB1" w:rsidRPr="00892FB1" w:rsidRDefault="00892FB1" w:rsidP="00892FB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92FB1">
        <w:rPr>
          <w:rFonts w:eastAsia="Times New Roman"/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</w:t>
      </w:r>
      <w:r>
        <w:rPr>
          <w:rFonts w:eastAsia="Times New Roman"/>
          <w:lang w:eastAsia="ru-RU"/>
        </w:rPr>
        <w:t xml:space="preserve">ребительских свойствах) товара </w:t>
      </w:r>
      <w:r w:rsidRPr="00892FB1">
        <w:rPr>
          <w:rFonts w:eastAsia="Times New Roman"/>
          <w:lang w:eastAsia="ru-RU"/>
        </w:rPr>
        <w:t xml:space="preserve">(Приложение № 2 к Техническому заданию) и Спецификации на поставку жалюзи для нужд ИПУ РАН (Приложение № 1 к </w:t>
      </w:r>
      <w:r w:rsidR="00B06656">
        <w:rPr>
          <w:rFonts w:eastAsia="Times New Roman"/>
          <w:lang w:eastAsia="ru-RU"/>
        </w:rPr>
        <w:t>Контракту</w:t>
      </w:r>
      <w:r w:rsidRPr="00892FB1">
        <w:rPr>
          <w:rFonts w:eastAsia="Times New Roman"/>
          <w:lang w:eastAsia="ru-RU"/>
        </w:rPr>
        <w:t>).</w:t>
      </w:r>
    </w:p>
    <w:p w:rsidR="00892FB1" w:rsidRPr="00892FB1" w:rsidRDefault="00892FB1" w:rsidP="00892FB1">
      <w:pPr>
        <w:ind w:firstLine="567"/>
        <w:jc w:val="both"/>
        <w:rPr>
          <w:rFonts w:eastAsia="Times New Roman"/>
          <w:lang w:eastAsia="ru-RU"/>
        </w:rPr>
      </w:pPr>
    </w:p>
    <w:p w:rsidR="00E633A9" w:rsidRPr="00902A67" w:rsidRDefault="00E633A9" w:rsidP="00902A67">
      <w:pPr>
        <w:spacing w:line="360" w:lineRule="auto"/>
        <w:rPr>
          <w:b/>
        </w:rPr>
        <w:sectPr w:rsidR="00E633A9" w:rsidRPr="00902A67" w:rsidSect="00DF33A1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:rsidR="00580575" w:rsidRPr="00E13896" w:rsidRDefault="00E633A9" w:rsidP="00E13896">
      <w:pPr>
        <w:pStyle w:val="a3"/>
        <w:spacing w:after="0"/>
        <w:jc w:val="right"/>
      </w:pPr>
      <w:r w:rsidRPr="00E13896">
        <w:lastRenderedPageBreak/>
        <w:t>П</w:t>
      </w:r>
      <w:r w:rsidR="00580575" w:rsidRPr="00E13896">
        <w:t xml:space="preserve">риложение №1 </w:t>
      </w:r>
      <w:r w:rsidR="001C7BF0" w:rsidRPr="00E13896">
        <w:t>к Техническому заданию</w:t>
      </w:r>
    </w:p>
    <w:p w:rsidR="00A82419" w:rsidRPr="003B6C3D" w:rsidRDefault="001C7BF0" w:rsidP="003B6C3D">
      <w:pPr>
        <w:jc w:val="right"/>
        <w:rPr>
          <w:shd w:val="clear" w:color="auto" w:fill="FFFFFF"/>
        </w:rPr>
      </w:pPr>
      <w:r w:rsidRPr="00E13896">
        <w:t xml:space="preserve">на поставку </w:t>
      </w:r>
      <w:r w:rsidR="00892FB1">
        <w:rPr>
          <w:shd w:val="clear" w:color="auto" w:fill="FFFFFF"/>
        </w:rPr>
        <w:t>жалюзи</w:t>
      </w:r>
      <w:r w:rsidR="008701EA" w:rsidRPr="008701EA">
        <w:rPr>
          <w:shd w:val="clear" w:color="auto" w:fill="FFFFFF"/>
        </w:rPr>
        <w:t xml:space="preserve"> для нужд </w:t>
      </w:r>
      <w:r w:rsidR="008701EA">
        <w:rPr>
          <w:shd w:val="clear" w:color="auto" w:fill="FFFFFF"/>
        </w:rPr>
        <w:t>ИПУ РАН</w:t>
      </w:r>
    </w:p>
    <w:p w:rsidR="001C7BF0" w:rsidRPr="002B5951" w:rsidRDefault="001C7BF0" w:rsidP="00E13896">
      <w:pPr>
        <w:pStyle w:val="a3"/>
        <w:spacing w:after="0"/>
        <w:jc w:val="right"/>
        <w:rPr>
          <w:b/>
        </w:rPr>
      </w:pPr>
    </w:p>
    <w:p w:rsidR="00DB76EC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Сведения о качестве, технических характеристиках товара, его безопасности,</w:t>
      </w:r>
    </w:p>
    <w:p w:rsidR="00580575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функциональных характеристиках (пот</w:t>
      </w:r>
      <w:r w:rsidR="00892FB1">
        <w:rPr>
          <w:b/>
        </w:rPr>
        <w:t>ребительских свойствах) товара</w:t>
      </w:r>
    </w:p>
    <w:p w:rsidR="00271A02" w:rsidRPr="002B5951" w:rsidRDefault="00271A02" w:rsidP="00C635A3">
      <w:pPr>
        <w:pStyle w:val="a3"/>
        <w:spacing w:after="0"/>
        <w:jc w:val="center"/>
        <w:rPr>
          <w:b/>
        </w:rPr>
      </w:pPr>
    </w:p>
    <w:tbl>
      <w:tblPr>
        <w:tblStyle w:val="a8"/>
        <w:tblW w:w="15444" w:type="dxa"/>
        <w:tblLayout w:type="fixed"/>
        <w:tblLook w:val="04A0" w:firstRow="1" w:lastRow="0" w:firstColumn="1" w:lastColumn="0" w:noHBand="0" w:noVBand="1"/>
      </w:tblPr>
      <w:tblGrid>
        <w:gridCol w:w="650"/>
        <w:gridCol w:w="1916"/>
        <w:gridCol w:w="1937"/>
        <w:gridCol w:w="2862"/>
        <w:gridCol w:w="2835"/>
        <w:gridCol w:w="1701"/>
        <w:gridCol w:w="3543"/>
      </w:tblGrid>
      <w:tr w:rsidR="00DE51C6" w:rsidRPr="002B5951" w:rsidTr="00767575">
        <w:trPr>
          <w:trHeight w:val="618"/>
        </w:trPr>
        <w:tc>
          <w:tcPr>
            <w:tcW w:w="650" w:type="dxa"/>
            <w:vMerge w:val="restart"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  <w:p w:rsidR="00DE51C6" w:rsidRPr="002B5951" w:rsidRDefault="00DE51C6" w:rsidP="00FD4A15">
            <w:pPr>
              <w:jc w:val="center"/>
              <w:rPr>
                <w:b/>
              </w:rPr>
            </w:pPr>
            <w:r w:rsidRPr="002B5951">
              <w:rPr>
                <w:b/>
              </w:rPr>
              <w:t>№ п/п</w:t>
            </w:r>
          </w:p>
        </w:tc>
        <w:tc>
          <w:tcPr>
            <w:tcW w:w="1916" w:type="dxa"/>
            <w:vMerge w:val="restart"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  <w:p w:rsidR="00DE51C6" w:rsidRPr="002B5951" w:rsidRDefault="00DE51C6" w:rsidP="00FD4A15">
            <w:pPr>
              <w:jc w:val="center"/>
              <w:rPr>
                <w:b/>
              </w:rPr>
            </w:pPr>
            <w:r w:rsidRPr="002B5951">
              <w:rPr>
                <w:b/>
              </w:rPr>
              <w:t>Наименование товара</w:t>
            </w:r>
          </w:p>
        </w:tc>
        <w:tc>
          <w:tcPr>
            <w:tcW w:w="1937" w:type="dxa"/>
            <w:vMerge w:val="restart"/>
          </w:tcPr>
          <w:p w:rsidR="00DE51C6" w:rsidRPr="002B5951" w:rsidRDefault="00DE51C6" w:rsidP="00FD4A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398" w:type="dxa"/>
            <w:gridSpan w:val="3"/>
          </w:tcPr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  <w:r w:rsidRPr="008741EA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3543" w:type="dxa"/>
            <w:vMerge w:val="restart"/>
          </w:tcPr>
          <w:p w:rsidR="00DE51C6" w:rsidRPr="008741EA" w:rsidRDefault="00DE51C6" w:rsidP="00FD4A15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DE51C6" w:rsidRPr="002B5951" w:rsidTr="00767575">
        <w:trPr>
          <w:trHeight w:val="618"/>
        </w:trPr>
        <w:tc>
          <w:tcPr>
            <w:tcW w:w="650" w:type="dxa"/>
            <w:vMerge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</w:tc>
        <w:tc>
          <w:tcPr>
            <w:tcW w:w="1916" w:type="dxa"/>
            <w:vMerge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</w:tc>
        <w:tc>
          <w:tcPr>
            <w:tcW w:w="1937" w:type="dxa"/>
            <w:vMerge/>
          </w:tcPr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</w:p>
        </w:tc>
        <w:tc>
          <w:tcPr>
            <w:tcW w:w="2862" w:type="dxa"/>
          </w:tcPr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Требуемый параметр</w:t>
            </w:r>
          </w:p>
        </w:tc>
        <w:tc>
          <w:tcPr>
            <w:tcW w:w="2835" w:type="dxa"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Требуемое значение</w:t>
            </w:r>
          </w:p>
        </w:tc>
        <w:tc>
          <w:tcPr>
            <w:tcW w:w="1701" w:type="dxa"/>
          </w:tcPr>
          <w:p w:rsidR="00DE51C6" w:rsidRPr="002B5951" w:rsidRDefault="00DE51C6" w:rsidP="00FD4A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9733F">
              <w:rPr>
                <w:rFonts w:eastAsia="Times New Roman"/>
                <w:b/>
                <w:bCs/>
                <w:lang w:eastAsia="ru-RU"/>
              </w:rPr>
              <w:t>Значение, предлагаемое участником</w:t>
            </w:r>
          </w:p>
        </w:tc>
        <w:tc>
          <w:tcPr>
            <w:tcW w:w="3543" w:type="dxa"/>
            <w:vMerge/>
          </w:tcPr>
          <w:p w:rsidR="00DE51C6" w:rsidRPr="002B5951" w:rsidRDefault="00DE51C6" w:rsidP="00FD4A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E51C6" w:rsidRPr="002B5951" w:rsidTr="00767575">
        <w:trPr>
          <w:trHeight w:val="315"/>
        </w:trPr>
        <w:tc>
          <w:tcPr>
            <w:tcW w:w="650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1</w:t>
            </w:r>
          </w:p>
        </w:tc>
        <w:tc>
          <w:tcPr>
            <w:tcW w:w="1916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2</w:t>
            </w:r>
          </w:p>
        </w:tc>
        <w:tc>
          <w:tcPr>
            <w:tcW w:w="1937" w:type="dxa"/>
          </w:tcPr>
          <w:p w:rsidR="00DE51C6" w:rsidRPr="002B5951" w:rsidRDefault="00DE51C6" w:rsidP="00FD4A15">
            <w:pPr>
              <w:jc w:val="center"/>
              <w:rPr>
                <w:b/>
                <w:bCs/>
                <w:i/>
              </w:rPr>
            </w:pPr>
            <w:r w:rsidRPr="002B5951">
              <w:rPr>
                <w:b/>
                <w:bCs/>
                <w:i/>
              </w:rPr>
              <w:t>3</w:t>
            </w:r>
          </w:p>
        </w:tc>
        <w:tc>
          <w:tcPr>
            <w:tcW w:w="2862" w:type="dxa"/>
          </w:tcPr>
          <w:p w:rsidR="00DE51C6" w:rsidRPr="002B5951" w:rsidRDefault="00DE51C6" w:rsidP="00FD4A15">
            <w:pPr>
              <w:jc w:val="center"/>
              <w:rPr>
                <w:b/>
                <w:bCs/>
                <w:i/>
              </w:rPr>
            </w:pPr>
            <w:r w:rsidRPr="002B5951">
              <w:rPr>
                <w:b/>
                <w:bCs/>
                <w:i/>
              </w:rPr>
              <w:t>4</w:t>
            </w:r>
          </w:p>
        </w:tc>
        <w:tc>
          <w:tcPr>
            <w:tcW w:w="2835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5</w:t>
            </w:r>
          </w:p>
        </w:tc>
        <w:tc>
          <w:tcPr>
            <w:tcW w:w="1701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543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892FB1" w:rsidRPr="002B5951" w:rsidTr="00767575">
        <w:trPr>
          <w:trHeight w:hRule="exact" w:val="764"/>
        </w:trPr>
        <w:tc>
          <w:tcPr>
            <w:tcW w:w="650" w:type="dxa"/>
            <w:vMerge w:val="restart"/>
          </w:tcPr>
          <w:p w:rsidR="00892FB1" w:rsidRPr="002B5951" w:rsidRDefault="00892FB1" w:rsidP="004735EA">
            <w:pPr>
              <w:jc w:val="center"/>
            </w:pPr>
            <w:r w:rsidRPr="002B5951">
              <w:t>1</w:t>
            </w:r>
          </w:p>
        </w:tc>
        <w:tc>
          <w:tcPr>
            <w:tcW w:w="1916" w:type="dxa"/>
            <w:vMerge w:val="restart"/>
          </w:tcPr>
          <w:p w:rsidR="00892FB1" w:rsidRPr="00892FB1" w:rsidRDefault="00892FB1" w:rsidP="00892FB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892FB1">
              <w:rPr>
                <w:rFonts w:eastAsia="Times New Roman"/>
                <w:lang w:eastAsia="ru-RU"/>
              </w:rPr>
              <w:t>Жалюзи</w:t>
            </w:r>
          </w:p>
          <w:p w:rsidR="00892FB1" w:rsidRPr="00892FB1" w:rsidRDefault="00892FB1" w:rsidP="00892FB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892FB1">
              <w:rPr>
                <w:rFonts w:eastAsia="Times New Roman"/>
                <w:lang w:eastAsia="ru-RU"/>
              </w:rPr>
              <w:t>оконные</w:t>
            </w:r>
          </w:p>
          <w:p w:rsidR="00892FB1" w:rsidRPr="00892FB1" w:rsidRDefault="00892FB1" w:rsidP="00892FB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</w:p>
          <w:p w:rsidR="00892FB1" w:rsidRPr="00892FB1" w:rsidRDefault="00892FB1" w:rsidP="00892FB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</w:p>
          <w:p w:rsidR="00892FB1" w:rsidRPr="00892FB1" w:rsidRDefault="00892FB1" w:rsidP="00892FB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892FB1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99E750D" wp14:editId="4EFD70B4">
                  <wp:extent cx="2103170" cy="7518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441" cy="78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FB1" w:rsidRPr="00892FB1" w:rsidRDefault="00892FB1" w:rsidP="00892FB1">
            <w:pPr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892FB1">
              <w:rPr>
                <w:rFonts w:eastAsia="Times New Roman"/>
                <w:bCs/>
                <w:i/>
                <w:lang w:eastAsia="ru-RU"/>
              </w:rPr>
              <w:t>ОКПД 2: 13.92.22.120 Навесы и маркизы (шторы от солнца)</w:t>
            </w:r>
          </w:p>
          <w:p w:rsidR="00892FB1" w:rsidRPr="00892FB1" w:rsidRDefault="00892FB1" w:rsidP="00892FB1">
            <w:pPr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892FB1">
              <w:rPr>
                <w:rFonts w:eastAsia="Times New Roman"/>
                <w:bCs/>
                <w:i/>
                <w:lang w:eastAsia="ru-RU"/>
              </w:rPr>
              <w:t>КТРУ: 13.92.22.120-00000017- Жалюзи оконные</w:t>
            </w:r>
          </w:p>
          <w:p w:rsidR="00892FB1" w:rsidRPr="009E146F" w:rsidRDefault="00892FB1" w:rsidP="004735EA">
            <w:pPr>
              <w:jc w:val="center"/>
              <w:rPr>
                <w:i/>
              </w:rPr>
            </w:pPr>
          </w:p>
        </w:tc>
        <w:tc>
          <w:tcPr>
            <w:tcW w:w="1937" w:type="dxa"/>
            <w:vMerge w:val="restart"/>
          </w:tcPr>
          <w:p w:rsidR="00892FB1" w:rsidRPr="003B6C3D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Вид жалюзи по форме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прямоугольные</w:t>
            </w:r>
          </w:p>
        </w:tc>
        <w:tc>
          <w:tcPr>
            <w:tcW w:w="1701" w:type="dxa"/>
          </w:tcPr>
          <w:p w:rsidR="00892FB1" w:rsidRPr="002B5951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КТРУ</w:t>
            </w:r>
          </w:p>
        </w:tc>
      </w:tr>
      <w:tr w:rsidR="00892FB1" w:rsidRPr="002B5951" w:rsidTr="00767575">
        <w:trPr>
          <w:trHeight w:hRule="exact" w:val="896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3B6C3D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Вид материала ламелей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ткань</w:t>
            </w:r>
          </w:p>
        </w:tc>
        <w:tc>
          <w:tcPr>
            <w:tcW w:w="1701" w:type="dxa"/>
          </w:tcPr>
          <w:p w:rsidR="00892FB1" w:rsidRPr="002B5951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КТРУ</w:t>
            </w:r>
          </w:p>
        </w:tc>
      </w:tr>
      <w:tr w:rsidR="00892FB1" w:rsidRPr="002B5951" w:rsidTr="00767575">
        <w:trPr>
          <w:trHeight w:hRule="exact" w:val="832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3B6C3D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Способ открывания/закрывания жалюзи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ручной</w:t>
            </w:r>
          </w:p>
        </w:tc>
        <w:tc>
          <w:tcPr>
            <w:tcW w:w="1701" w:type="dxa"/>
          </w:tcPr>
          <w:p w:rsidR="00892FB1" w:rsidRPr="002B5951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КТРУ</w:t>
            </w:r>
          </w:p>
        </w:tc>
      </w:tr>
      <w:tr w:rsidR="00892FB1" w:rsidRPr="002B5951" w:rsidTr="00767575">
        <w:trPr>
          <w:trHeight w:hRule="exact" w:val="581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3B6C3D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Способ установки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потолочный</w:t>
            </w:r>
          </w:p>
        </w:tc>
        <w:tc>
          <w:tcPr>
            <w:tcW w:w="1701" w:type="dxa"/>
          </w:tcPr>
          <w:p w:rsidR="00892FB1" w:rsidRPr="002B5951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КТРУ</w:t>
            </w:r>
          </w:p>
        </w:tc>
      </w:tr>
      <w:tr w:rsidR="00892FB1" w:rsidRPr="002B5951" w:rsidTr="00767575">
        <w:trPr>
          <w:trHeight w:hRule="exact" w:val="710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A1732D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Сырьевой состав ткани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синтетический</w:t>
            </w:r>
          </w:p>
        </w:tc>
        <w:tc>
          <w:tcPr>
            <w:tcW w:w="1701" w:type="dxa"/>
          </w:tcPr>
          <w:p w:rsidR="00892FB1" w:rsidRPr="00DC5C85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КТРУ</w:t>
            </w:r>
          </w:p>
        </w:tc>
      </w:tr>
      <w:tr w:rsidR="00892FB1" w:rsidRPr="002B5951" w:rsidTr="00767575">
        <w:trPr>
          <w:trHeight w:hRule="exact" w:val="710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A1732D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Тип жалюзи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вертикальные</w:t>
            </w:r>
          </w:p>
        </w:tc>
        <w:tc>
          <w:tcPr>
            <w:tcW w:w="1701" w:type="dxa"/>
          </w:tcPr>
          <w:p w:rsidR="00892FB1" w:rsidRPr="00DC5C85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КТРУ</w:t>
            </w:r>
          </w:p>
        </w:tc>
      </w:tr>
      <w:tr w:rsidR="00892FB1" w:rsidRPr="002B5951" w:rsidTr="00767575">
        <w:trPr>
          <w:trHeight w:hRule="exact" w:val="571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DC5C85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Высота изделия, мм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2350*</w:t>
            </w:r>
          </w:p>
        </w:tc>
        <w:tc>
          <w:tcPr>
            <w:tcW w:w="1701" w:type="dxa"/>
          </w:tcPr>
          <w:p w:rsidR="00892FB1" w:rsidRPr="002B5951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размерами окна</w:t>
            </w:r>
          </w:p>
        </w:tc>
      </w:tr>
      <w:tr w:rsidR="00892FB1" w:rsidRPr="002B5951" w:rsidTr="00767575">
        <w:trPr>
          <w:trHeight w:hRule="exact" w:val="810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DC5C85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Ширина изделия, мм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2850*</w:t>
            </w:r>
          </w:p>
        </w:tc>
        <w:tc>
          <w:tcPr>
            <w:tcW w:w="1701" w:type="dxa"/>
          </w:tcPr>
          <w:p w:rsidR="00892FB1" w:rsidRPr="002B5951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размерами окна</w:t>
            </w:r>
          </w:p>
        </w:tc>
      </w:tr>
      <w:tr w:rsidR="00892FB1" w:rsidRPr="00166B30" w:rsidTr="00767575">
        <w:trPr>
          <w:trHeight w:hRule="exact" w:val="571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DC5C85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Светонепроницаемость, %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u w:val="single"/>
                <w:lang w:eastAsia="ru-RU"/>
              </w:rPr>
              <w:t>&gt;</w:t>
            </w:r>
            <w:r w:rsidRPr="0040601E">
              <w:rPr>
                <w:rFonts w:eastAsia="Times New Roman"/>
                <w:lang w:eastAsia="ru-RU"/>
              </w:rPr>
              <w:t xml:space="preserve"> 50</w:t>
            </w:r>
          </w:p>
        </w:tc>
        <w:tc>
          <w:tcPr>
            <w:tcW w:w="1701" w:type="dxa"/>
          </w:tcPr>
          <w:p w:rsidR="00892FB1" w:rsidRPr="00FD4A3D" w:rsidRDefault="00892FB1" w:rsidP="004735EA">
            <w:pPr>
              <w:rPr>
                <w:lang w:val="en-US"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Для максимальной защиты от солнечного света</w:t>
            </w:r>
          </w:p>
        </w:tc>
      </w:tr>
      <w:tr w:rsidR="00892FB1" w:rsidRPr="002B5951" w:rsidTr="00767575">
        <w:trPr>
          <w:trHeight w:hRule="exact" w:val="581"/>
        </w:trPr>
        <w:tc>
          <w:tcPr>
            <w:tcW w:w="650" w:type="dxa"/>
            <w:vMerge/>
          </w:tcPr>
          <w:p w:rsidR="00892FB1" w:rsidRPr="00166B30" w:rsidRDefault="00892FB1" w:rsidP="00BD3447">
            <w:pPr>
              <w:jc w:val="center"/>
            </w:pPr>
          </w:p>
        </w:tc>
        <w:tc>
          <w:tcPr>
            <w:tcW w:w="1916" w:type="dxa"/>
            <w:vMerge/>
          </w:tcPr>
          <w:p w:rsidR="00892FB1" w:rsidRPr="00166B30" w:rsidRDefault="00892FB1" w:rsidP="00BD3447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166B30" w:rsidRDefault="00892FB1" w:rsidP="00BD3447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Цвет ткани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Белый, серый, бежевый, кремовый, персик</w:t>
            </w:r>
            <w:r w:rsidRPr="0040601E">
              <w:rPr>
                <w:rFonts w:eastAsia="Times New Roman"/>
                <w:lang w:eastAsia="ru-RU"/>
              </w:rPr>
              <w:t>*</w:t>
            </w:r>
          </w:p>
        </w:tc>
        <w:tc>
          <w:tcPr>
            <w:tcW w:w="1701" w:type="dxa"/>
          </w:tcPr>
          <w:p w:rsidR="00892FB1" w:rsidRPr="002B5951" w:rsidRDefault="00892FB1" w:rsidP="00BD344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Для поддержания единообразия в помещениях</w:t>
            </w:r>
          </w:p>
        </w:tc>
      </w:tr>
      <w:tr w:rsidR="00892FB1" w:rsidRPr="002B5951" w:rsidTr="00767575">
        <w:trPr>
          <w:trHeight w:hRule="exact" w:val="862"/>
        </w:trPr>
        <w:tc>
          <w:tcPr>
            <w:tcW w:w="650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92FB1" w:rsidRPr="002B5951" w:rsidRDefault="00892FB1" w:rsidP="004735EA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DC5C85" w:rsidRDefault="00892FB1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Тип управления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по согласованию с заказчиком*</w:t>
            </w:r>
          </w:p>
        </w:tc>
        <w:tc>
          <w:tcPr>
            <w:tcW w:w="1701" w:type="dxa"/>
          </w:tcPr>
          <w:p w:rsidR="00892FB1" w:rsidRPr="002B5951" w:rsidRDefault="00892FB1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 xml:space="preserve">В соответствии с конструкцией открывающейся оконной створки </w:t>
            </w:r>
          </w:p>
        </w:tc>
      </w:tr>
      <w:tr w:rsidR="00892FB1" w:rsidRPr="002B5951" w:rsidTr="00767575">
        <w:trPr>
          <w:trHeight w:hRule="exact" w:val="970"/>
        </w:trPr>
        <w:tc>
          <w:tcPr>
            <w:tcW w:w="650" w:type="dxa"/>
            <w:vMerge/>
          </w:tcPr>
          <w:p w:rsidR="00892FB1" w:rsidRPr="002B5951" w:rsidRDefault="00892FB1" w:rsidP="004060A6">
            <w:pPr>
              <w:jc w:val="center"/>
            </w:pPr>
          </w:p>
        </w:tc>
        <w:tc>
          <w:tcPr>
            <w:tcW w:w="1916" w:type="dxa"/>
            <w:vMerge/>
          </w:tcPr>
          <w:p w:rsidR="00892FB1" w:rsidRPr="002B5951" w:rsidRDefault="00892FB1" w:rsidP="004060A6">
            <w:pPr>
              <w:jc w:val="center"/>
            </w:pPr>
          </w:p>
        </w:tc>
        <w:tc>
          <w:tcPr>
            <w:tcW w:w="1937" w:type="dxa"/>
            <w:vMerge/>
          </w:tcPr>
          <w:p w:rsidR="00892FB1" w:rsidRPr="00DC5C85" w:rsidRDefault="00892FB1" w:rsidP="004060A6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Крепление, см</w:t>
            </w:r>
          </w:p>
        </w:tc>
        <w:tc>
          <w:tcPr>
            <w:tcW w:w="2835" w:type="dxa"/>
            <w:vAlign w:val="center"/>
          </w:tcPr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lang w:eastAsia="ru-RU"/>
              </w:rPr>
              <w:t>на кронштейны с выносом</w:t>
            </w:r>
          </w:p>
          <w:p w:rsidR="00892FB1" w:rsidRPr="0040601E" w:rsidRDefault="00892FB1" w:rsidP="006D151D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lang w:eastAsia="ru-RU"/>
              </w:rPr>
            </w:pPr>
            <w:r w:rsidRPr="0040601E">
              <w:rPr>
                <w:rFonts w:eastAsia="Times New Roman"/>
                <w:u w:val="single"/>
                <w:lang w:eastAsia="ru-RU"/>
              </w:rPr>
              <w:t>&gt;</w:t>
            </w:r>
            <w:r w:rsidRPr="0040601E">
              <w:rPr>
                <w:rFonts w:eastAsia="Times New Roman"/>
                <w:lang w:eastAsia="ru-RU"/>
              </w:rPr>
              <w:t xml:space="preserve"> 10,5</w:t>
            </w:r>
          </w:p>
        </w:tc>
        <w:tc>
          <w:tcPr>
            <w:tcW w:w="1701" w:type="dxa"/>
          </w:tcPr>
          <w:p w:rsidR="00892FB1" w:rsidRPr="002B5951" w:rsidRDefault="00892FB1" w:rsidP="004060A6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92FB1" w:rsidRPr="00892FB1" w:rsidRDefault="00892FB1" w:rsidP="006D151D">
            <w:pPr>
              <w:rPr>
                <w:lang w:eastAsia="ru-RU"/>
              </w:rPr>
            </w:pPr>
            <w:r w:rsidRPr="00892FB1">
              <w:rPr>
                <w:lang w:eastAsia="ru-RU"/>
              </w:rPr>
              <w:t>В соответствии с размерами подоконников</w:t>
            </w:r>
          </w:p>
        </w:tc>
      </w:tr>
    </w:tbl>
    <w:p w:rsidR="00767575" w:rsidRDefault="00767575" w:rsidP="00775D1A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ED0E1E" w:rsidRPr="002B5951" w:rsidRDefault="00767575" w:rsidP="00775D1A">
      <w:pPr>
        <w:keepNext/>
        <w:overflowPunct w:val="0"/>
        <w:autoSpaceDE w:val="0"/>
        <w:outlineLvl w:val="0"/>
        <w:rPr>
          <w:rFonts w:eastAsia="Arial Unicode MS"/>
          <w:bCs/>
        </w:rPr>
        <w:sectPr w:rsidR="00ED0E1E" w:rsidRPr="002B5951" w:rsidSect="00E13896">
          <w:pgSz w:w="16838" w:h="11906" w:orient="landscape"/>
          <w:pgMar w:top="709" w:right="567" w:bottom="284" w:left="1134" w:header="709" w:footer="709" w:gutter="0"/>
          <w:cols w:space="708"/>
          <w:docGrid w:linePitch="360"/>
        </w:sectPr>
      </w:pPr>
      <w:r w:rsidRPr="00767575">
        <w:rPr>
          <w:rFonts w:eastAsia="Arial Unicode MS"/>
          <w:bCs/>
        </w:rPr>
        <w:t>Если требуемое значение параметра сопровождается   знаком* (звездочка), параметр согласовывается и уточняется при предварительном замере.</w:t>
      </w:r>
    </w:p>
    <w:p w:rsidR="008C4AB8" w:rsidRPr="002B5951" w:rsidRDefault="008C4AB8" w:rsidP="0071411D">
      <w:pPr>
        <w:contextualSpacing/>
        <w:jc w:val="right"/>
      </w:pPr>
      <w:r w:rsidRPr="002B5951">
        <w:lastRenderedPageBreak/>
        <w:t xml:space="preserve">Приложение № </w:t>
      </w:r>
      <w:r w:rsidR="00E842FD" w:rsidRPr="002B5951">
        <w:t>1</w:t>
      </w:r>
    </w:p>
    <w:p w:rsidR="008C4AB8" w:rsidRPr="002B5951" w:rsidRDefault="008C4AB8" w:rsidP="008C4AB8">
      <w:pPr>
        <w:ind w:left="5670"/>
        <w:contextualSpacing/>
        <w:jc w:val="right"/>
      </w:pPr>
      <w:r w:rsidRPr="002B5951">
        <w:t xml:space="preserve">к </w:t>
      </w:r>
      <w:r w:rsidR="00695E79" w:rsidRPr="002B5951">
        <w:t>Контракту</w:t>
      </w:r>
      <w:r w:rsidR="00C21B2B" w:rsidRPr="002B5951">
        <w:t xml:space="preserve"> №___________</w:t>
      </w:r>
    </w:p>
    <w:p w:rsidR="00C21B2B" w:rsidRPr="002B5951" w:rsidRDefault="005C18D9" w:rsidP="008C4AB8">
      <w:pPr>
        <w:ind w:left="5670"/>
        <w:contextualSpacing/>
        <w:jc w:val="right"/>
      </w:pPr>
      <w:r w:rsidRPr="002B5951">
        <w:t>от «_____» ________ 202</w:t>
      </w:r>
      <w:r w:rsidR="00D42659">
        <w:t>2</w:t>
      </w:r>
      <w:r w:rsidR="00C21B2B" w:rsidRPr="002B5951">
        <w:t xml:space="preserve"> г.</w:t>
      </w:r>
    </w:p>
    <w:p w:rsidR="008C4AB8" w:rsidRPr="002B5951" w:rsidRDefault="008C4AB8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</w:p>
    <w:p w:rsidR="004412AD" w:rsidRPr="002B5951" w:rsidRDefault="004412AD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</w:p>
    <w:p w:rsidR="008C4AB8" w:rsidRPr="002B5951" w:rsidRDefault="008C4AB8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  <w:r w:rsidRPr="002B5951">
        <w:rPr>
          <w:rFonts w:eastAsia="Times New Roman"/>
          <w:bCs/>
          <w:lang w:val="x-none"/>
        </w:rPr>
        <w:t>СПЕЦИФИКАЦИЯ</w:t>
      </w:r>
    </w:p>
    <w:p w:rsidR="00E13896" w:rsidRPr="00E513B9" w:rsidRDefault="00FF426B" w:rsidP="00E513B9">
      <w:pPr>
        <w:jc w:val="center"/>
        <w:rPr>
          <w:shd w:val="clear" w:color="auto" w:fill="FFFFFF"/>
        </w:rPr>
      </w:pPr>
      <w:r w:rsidRPr="002B5951">
        <w:rPr>
          <w:bCs/>
        </w:rPr>
        <w:t xml:space="preserve">на поставку </w:t>
      </w:r>
      <w:r w:rsidR="00892FB1">
        <w:rPr>
          <w:shd w:val="clear" w:color="auto" w:fill="FFFFFF"/>
        </w:rPr>
        <w:t>жалюзи</w:t>
      </w:r>
      <w:r w:rsidR="008701EA" w:rsidRPr="008701EA">
        <w:rPr>
          <w:shd w:val="clear" w:color="auto" w:fill="FFFFFF"/>
        </w:rPr>
        <w:t xml:space="preserve"> для нужд </w:t>
      </w:r>
      <w:r w:rsidR="00E13896" w:rsidRPr="002B5951">
        <w:t>ИПУ РАН</w:t>
      </w:r>
    </w:p>
    <w:p w:rsidR="00AA5D0B" w:rsidRPr="002B5951" w:rsidRDefault="00AA5D0B" w:rsidP="008C4AB8">
      <w:pPr>
        <w:suppressAutoHyphens/>
        <w:jc w:val="center"/>
      </w:pPr>
    </w:p>
    <w:tbl>
      <w:tblPr>
        <w:tblStyle w:val="a8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72"/>
        <w:gridCol w:w="992"/>
        <w:gridCol w:w="1418"/>
        <w:gridCol w:w="1417"/>
        <w:gridCol w:w="1276"/>
      </w:tblGrid>
      <w:tr w:rsidR="00E94E4F" w:rsidRPr="002B5951" w:rsidTr="001362B1">
        <w:trPr>
          <w:trHeight w:val="459"/>
        </w:trPr>
        <w:tc>
          <w:tcPr>
            <w:tcW w:w="851" w:type="dxa"/>
          </w:tcPr>
          <w:p w:rsidR="00B93483" w:rsidRPr="002B5951" w:rsidRDefault="005751BE" w:rsidP="001362B1">
            <w:pPr>
              <w:jc w:val="center"/>
            </w:pPr>
            <w:r w:rsidRPr="002B5951">
              <w:t>№</w:t>
            </w:r>
          </w:p>
        </w:tc>
        <w:tc>
          <w:tcPr>
            <w:tcW w:w="3572" w:type="dxa"/>
          </w:tcPr>
          <w:p w:rsidR="00B93483" w:rsidRPr="002B5951" w:rsidRDefault="00B93483" w:rsidP="005A2083">
            <w:pPr>
              <w:jc w:val="center"/>
            </w:pPr>
            <w:r w:rsidRPr="002B5951">
              <w:t>Наименование товара</w:t>
            </w:r>
          </w:p>
        </w:tc>
        <w:tc>
          <w:tcPr>
            <w:tcW w:w="992" w:type="dxa"/>
          </w:tcPr>
          <w:p w:rsidR="00B93483" w:rsidRPr="002B5951" w:rsidRDefault="00B93483" w:rsidP="00122561">
            <w:pPr>
              <w:suppressAutoHyphens/>
              <w:snapToGrid w:val="0"/>
              <w:jc w:val="center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Ед.</w:t>
            </w:r>
          </w:p>
          <w:p w:rsidR="00B93483" w:rsidRPr="002B5951" w:rsidRDefault="00B93483" w:rsidP="00122561">
            <w:pPr>
              <w:jc w:val="center"/>
            </w:pPr>
            <w:r w:rsidRPr="002B5951">
              <w:rPr>
                <w:rFonts w:eastAsia="Times New Roman"/>
              </w:rPr>
              <w:t>изм.</w:t>
            </w:r>
          </w:p>
        </w:tc>
        <w:tc>
          <w:tcPr>
            <w:tcW w:w="1418" w:type="dxa"/>
          </w:tcPr>
          <w:p w:rsidR="00B93483" w:rsidRPr="002B5951" w:rsidRDefault="00B93483" w:rsidP="005A2083">
            <w:pPr>
              <w:jc w:val="center"/>
            </w:pPr>
            <w:r w:rsidRPr="002B5951">
              <w:t>Кол-во</w:t>
            </w:r>
          </w:p>
        </w:tc>
        <w:tc>
          <w:tcPr>
            <w:tcW w:w="1417" w:type="dxa"/>
          </w:tcPr>
          <w:p w:rsidR="00B93483" w:rsidRPr="002B5951" w:rsidRDefault="00B93483" w:rsidP="005A2083">
            <w:pPr>
              <w:jc w:val="center"/>
            </w:pPr>
            <w:r w:rsidRPr="002B5951">
              <w:rPr>
                <w:rFonts w:eastAsia="Times New Roman"/>
                <w:lang w:eastAsia="ru-RU"/>
              </w:rPr>
              <w:t>Цена</w:t>
            </w:r>
          </w:p>
        </w:tc>
        <w:tc>
          <w:tcPr>
            <w:tcW w:w="1276" w:type="dxa"/>
          </w:tcPr>
          <w:p w:rsidR="00B93483" w:rsidRPr="002B5951" w:rsidRDefault="00B93483" w:rsidP="005A2083">
            <w:pPr>
              <w:jc w:val="center"/>
            </w:pPr>
            <w:r w:rsidRPr="002B5951">
              <w:rPr>
                <w:rFonts w:eastAsia="Times New Roman"/>
                <w:lang w:eastAsia="ru-RU"/>
              </w:rPr>
              <w:t>Сумма</w:t>
            </w:r>
          </w:p>
        </w:tc>
      </w:tr>
      <w:tr w:rsidR="00E94E4F" w:rsidRPr="002B5951" w:rsidTr="001362B1">
        <w:trPr>
          <w:trHeight w:val="479"/>
        </w:trPr>
        <w:tc>
          <w:tcPr>
            <w:tcW w:w="851" w:type="dxa"/>
          </w:tcPr>
          <w:p w:rsidR="00B93483" w:rsidRPr="002B5951" w:rsidRDefault="00E20D32" w:rsidP="005A2083">
            <w:pPr>
              <w:jc w:val="center"/>
            </w:pPr>
            <w:r w:rsidRPr="002B5951">
              <w:t>1</w:t>
            </w:r>
          </w:p>
        </w:tc>
        <w:tc>
          <w:tcPr>
            <w:tcW w:w="3572" w:type="dxa"/>
          </w:tcPr>
          <w:p w:rsidR="00B93483" w:rsidRPr="002B5951" w:rsidRDefault="00767575" w:rsidP="00AF40FA">
            <w:r>
              <w:t>Жалюзи оконные</w:t>
            </w:r>
          </w:p>
        </w:tc>
        <w:tc>
          <w:tcPr>
            <w:tcW w:w="992" w:type="dxa"/>
          </w:tcPr>
          <w:p w:rsidR="00B93483" w:rsidRPr="002B5951" w:rsidRDefault="00767575" w:rsidP="00614A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418" w:type="dxa"/>
          </w:tcPr>
          <w:p w:rsidR="00B93483" w:rsidRPr="002B5951" w:rsidRDefault="00767575" w:rsidP="00614ABE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93483" w:rsidRPr="002B5951" w:rsidRDefault="00B93483" w:rsidP="00614ABE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93483" w:rsidRPr="002B5951" w:rsidRDefault="00B93483" w:rsidP="00614ABE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E94E4F" w:rsidRPr="002B5951" w:rsidTr="002A4A85">
        <w:trPr>
          <w:trHeight w:val="152"/>
        </w:trPr>
        <w:tc>
          <w:tcPr>
            <w:tcW w:w="8250" w:type="dxa"/>
            <w:gridSpan w:val="5"/>
          </w:tcPr>
          <w:p w:rsidR="004412AD" w:rsidRPr="002B5951" w:rsidRDefault="004412AD" w:rsidP="004412AD">
            <w:pPr>
              <w:jc w:val="right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Итого</w:t>
            </w:r>
          </w:p>
        </w:tc>
        <w:tc>
          <w:tcPr>
            <w:tcW w:w="1276" w:type="dxa"/>
          </w:tcPr>
          <w:p w:rsidR="004412AD" w:rsidRPr="002B5951" w:rsidRDefault="004412AD" w:rsidP="004412AD">
            <w:pPr>
              <w:jc w:val="center"/>
              <w:rPr>
                <w:rFonts w:eastAsia="Times New Roman"/>
              </w:rPr>
            </w:pPr>
          </w:p>
        </w:tc>
      </w:tr>
      <w:tr w:rsidR="00E94E4F" w:rsidRPr="002B5951" w:rsidTr="002A4A85">
        <w:trPr>
          <w:trHeight w:val="152"/>
        </w:trPr>
        <w:tc>
          <w:tcPr>
            <w:tcW w:w="8250" w:type="dxa"/>
            <w:gridSpan w:val="5"/>
          </w:tcPr>
          <w:p w:rsidR="004412AD" w:rsidRPr="002B5951" w:rsidRDefault="004412AD" w:rsidP="004412AD">
            <w:pPr>
              <w:jc w:val="right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В том числе НДС 20 %</w:t>
            </w:r>
          </w:p>
        </w:tc>
        <w:tc>
          <w:tcPr>
            <w:tcW w:w="1276" w:type="dxa"/>
          </w:tcPr>
          <w:p w:rsidR="004412AD" w:rsidRPr="002B5951" w:rsidRDefault="004412AD" w:rsidP="004412AD">
            <w:pPr>
              <w:jc w:val="center"/>
              <w:rPr>
                <w:rFonts w:eastAsia="Times New Roman"/>
              </w:rPr>
            </w:pPr>
          </w:p>
        </w:tc>
      </w:tr>
    </w:tbl>
    <w:p w:rsidR="005727E4" w:rsidRPr="002B5951" w:rsidRDefault="005727E4" w:rsidP="005727E4">
      <w:pPr>
        <w:jc w:val="both"/>
        <w:rPr>
          <w:rFonts w:eastAsia="Times New Roman"/>
        </w:rPr>
      </w:pPr>
    </w:p>
    <w:p w:rsidR="00695E79" w:rsidRPr="002B5951" w:rsidRDefault="00695E79" w:rsidP="005727E4">
      <w:pPr>
        <w:jc w:val="both"/>
        <w:rPr>
          <w:rFonts w:eastAsia="Times New Roman"/>
        </w:rPr>
      </w:pPr>
    </w:p>
    <w:p w:rsidR="00F172BE" w:rsidRPr="002B5951" w:rsidRDefault="00F172BE" w:rsidP="00F172B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sectPr w:rsidR="00F172BE" w:rsidRPr="002B5951" w:rsidSect="002E33AF"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5DCC"/>
    <w:rsid w:val="001066FB"/>
    <w:rsid w:val="00106CB5"/>
    <w:rsid w:val="001103B7"/>
    <w:rsid w:val="00112277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90D67"/>
    <w:rsid w:val="00391ECF"/>
    <w:rsid w:val="0039250E"/>
    <w:rsid w:val="00392C53"/>
    <w:rsid w:val="003941F2"/>
    <w:rsid w:val="0039549B"/>
    <w:rsid w:val="003965BC"/>
    <w:rsid w:val="003970CB"/>
    <w:rsid w:val="00397B94"/>
    <w:rsid w:val="003A0849"/>
    <w:rsid w:val="003A13DC"/>
    <w:rsid w:val="003A19E3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79F4"/>
    <w:rsid w:val="00560106"/>
    <w:rsid w:val="00560C10"/>
    <w:rsid w:val="00562A8C"/>
    <w:rsid w:val="00564247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6B86"/>
    <w:rsid w:val="006722B3"/>
    <w:rsid w:val="006734AB"/>
    <w:rsid w:val="0067474E"/>
    <w:rsid w:val="006747BE"/>
    <w:rsid w:val="006750B0"/>
    <w:rsid w:val="00677190"/>
    <w:rsid w:val="00680706"/>
    <w:rsid w:val="00681A8F"/>
    <w:rsid w:val="00683AC7"/>
    <w:rsid w:val="00685EA5"/>
    <w:rsid w:val="0068673E"/>
    <w:rsid w:val="00686E42"/>
    <w:rsid w:val="0068703E"/>
    <w:rsid w:val="0068744A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E76F7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67575"/>
    <w:rsid w:val="00770C88"/>
    <w:rsid w:val="00770E4F"/>
    <w:rsid w:val="007723E3"/>
    <w:rsid w:val="007731D4"/>
    <w:rsid w:val="00773B87"/>
    <w:rsid w:val="00774C60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2FB1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60563"/>
    <w:rsid w:val="00A6241E"/>
    <w:rsid w:val="00A65A06"/>
    <w:rsid w:val="00A704BC"/>
    <w:rsid w:val="00A71648"/>
    <w:rsid w:val="00A71BFA"/>
    <w:rsid w:val="00A73583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D484E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B007B9"/>
    <w:rsid w:val="00B0107F"/>
    <w:rsid w:val="00B02CE9"/>
    <w:rsid w:val="00B04561"/>
    <w:rsid w:val="00B05F62"/>
    <w:rsid w:val="00B06656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2B47"/>
    <w:rsid w:val="00C12E31"/>
    <w:rsid w:val="00C14708"/>
    <w:rsid w:val="00C15279"/>
    <w:rsid w:val="00C15CD7"/>
    <w:rsid w:val="00C16CCA"/>
    <w:rsid w:val="00C1748A"/>
    <w:rsid w:val="00C21083"/>
    <w:rsid w:val="00C2118A"/>
    <w:rsid w:val="00C21B2B"/>
    <w:rsid w:val="00C22500"/>
    <w:rsid w:val="00C22728"/>
    <w:rsid w:val="00C24D4E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1D8"/>
    <w:rsid w:val="00CA4ADF"/>
    <w:rsid w:val="00CA4FF8"/>
    <w:rsid w:val="00CA5C3E"/>
    <w:rsid w:val="00CA6F98"/>
    <w:rsid w:val="00CB1E64"/>
    <w:rsid w:val="00CB24AE"/>
    <w:rsid w:val="00CB2DE5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4B31"/>
    <w:rsid w:val="00D05374"/>
    <w:rsid w:val="00D05628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2AB08-6B47-405C-A53B-630ACDBB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50B0-0DC9-4A96-AEBD-01FF5BA6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Admin</cp:lastModifiedBy>
  <cp:revision>44</cp:revision>
  <cp:lastPrinted>2022-04-25T09:29:00Z</cp:lastPrinted>
  <dcterms:created xsi:type="dcterms:W3CDTF">2021-09-09T11:52:00Z</dcterms:created>
  <dcterms:modified xsi:type="dcterms:W3CDTF">2022-04-25T09:30:00Z</dcterms:modified>
</cp:coreProperties>
</file>