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8" w:rsidRPr="006513E8" w:rsidRDefault="006513E8" w:rsidP="006513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51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 к Извещению </w:t>
      </w:r>
    </w:p>
    <w:p w:rsidR="006513E8" w:rsidRPr="006513E8" w:rsidRDefault="006513E8" w:rsidP="00651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E8" w:rsidRPr="006513E8" w:rsidRDefault="006513E8" w:rsidP="00651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в электронной форме</w:t>
      </w:r>
      <w:bookmarkStart w:id="1" w:name="_Toc514010156"/>
      <w:r w:rsidRPr="006513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bookmarkEnd w:id="1"/>
    <w:p w:rsidR="006513E8" w:rsidRPr="006513E8" w:rsidRDefault="006513E8" w:rsidP="006513E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7201"/>
        <w:gridCol w:w="7229"/>
      </w:tblGrid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об участнике закупки, подавшем настоящую заявку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участник закупки является юридическим лицом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учредителей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членов коллегиального исполнительного органа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единоличного исполнительного органа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участника закупки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участник закупки является физическим лицом, в том числе индивидуальным предпринимателем</w:t>
            </w: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513E8" w:rsidRPr="006513E8" w:rsidTr="0082685F">
        <w:trPr>
          <w:trHeight w:hRule="exact" w:val="39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8" w:rsidRPr="006513E8" w:rsidRDefault="006513E8" w:rsidP="0065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товаре.</w:t>
      </w:r>
    </w:p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550"/>
        <w:gridCol w:w="2475"/>
        <w:gridCol w:w="3951"/>
        <w:gridCol w:w="3456"/>
        <w:gridCol w:w="2305"/>
      </w:tblGrid>
      <w:tr w:rsidR="008B1431" w:rsidRPr="00145ABB" w:rsidTr="008B1431">
        <w:trPr>
          <w:trHeight w:val="335"/>
        </w:trPr>
        <w:tc>
          <w:tcPr>
            <w:tcW w:w="862" w:type="dxa"/>
            <w:vMerge w:val="restart"/>
            <w:shd w:val="clear" w:color="000000" w:fill="FFFFFF"/>
            <w:noWrap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  <w:vMerge w:val="restart"/>
            <w:shd w:val="clear" w:color="auto" w:fill="auto"/>
            <w:noWrap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товарный знак (модель, производитель), страна происхождения товара</w:t>
            </w:r>
          </w:p>
        </w:tc>
        <w:tc>
          <w:tcPr>
            <w:tcW w:w="9711" w:type="dxa"/>
            <w:gridSpan w:val="3"/>
            <w:shd w:val="clear" w:color="000000" w:fill="FFFFFF"/>
            <w:noWrap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8B1431" w:rsidRPr="00145ABB" w:rsidTr="008B1431">
        <w:trPr>
          <w:trHeight w:val="335"/>
        </w:trPr>
        <w:tc>
          <w:tcPr>
            <w:tcW w:w="862" w:type="dxa"/>
            <w:vMerge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shd w:val="clear" w:color="000000" w:fill="FFFFFF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/>
            <w:noWrap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3456" w:type="dxa"/>
            <w:shd w:val="clear" w:color="000000" w:fill="FFFFFF"/>
            <w:noWrap/>
            <w:vAlign w:val="center"/>
            <w:hideMark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</w:tr>
      <w:tr w:rsidR="008B1431" w:rsidRPr="00145ABB" w:rsidTr="008B1431">
        <w:trPr>
          <w:trHeight w:val="247"/>
        </w:trPr>
        <w:tc>
          <w:tcPr>
            <w:tcW w:w="862" w:type="dxa"/>
            <w:vMerge w:val="restart"/>
            <w:shd w:val="clear" w:color="000000" w:fill="FFFFFF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shd w:val="clear" w:color="auto" w:fill="auto"/>
            <w:noWrap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уруповерт</w:t>
            </w:r>
            <w:proofErr w:type="spellEnd"/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предназначена</w:t>
            </w:r>
            <w:proofErr w:type="gramEnd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работ с крепежными элементами и сверления отверстий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bottom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Theme="minorEastAsia" w:hAnsi="Times New Roman" w:cs="Times New Roman"/>
                <w:sz w:val="24"/>
                <w:szCs w:val="24"/>
              </w:rPr>
              <w:t>аккумуляторный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аккумулятора </w:t>
            </w:r>
            <w:proofErr w:type="spell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Li-lon</w:t>
            </w:r>
            <w:proofErr w:type="spell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аккумулятора,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12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Емкость аккумулятора, А/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1,5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Время заряда,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1,0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Число скоростей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Функция реверса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щеточный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Тормоз двигателя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Тип патрона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быстрозажимной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Блокировка шпинделя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287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зажимной оснастки,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0,8 и ≤ 10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54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диаметр сверления (металл),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диаметр сверления (дерево),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40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ступеней крутящего момента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18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Подсветка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Рукоятка с противоскользящей накладкой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без упаковки,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1,5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Комплектация: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E34407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B1431"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ккумулятор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кейс/чемодан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804"/>
        </w:trPr>
        <w:tc>
          <w:tcPr>
            <w:tcW w:w="862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углошлифовальная</w:t>
            </w:r>
            <w:proofErr w:type="spellEnd"/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применяется в строительно-ремонтных работах для резки и шлифовки твердых материалов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диска,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</w:tcPr>
          <w:p w:rsidR="008B1431" w:rsidRPr="00145ABB" w:rsidRDefault="008B1431" w:rsidP="0014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Потребляемая мощность,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1 200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число оборотов, об/мин.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11 500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посадочного отверстия,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21,98 и ≤ 22,02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шпинделя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оборотов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стабилизации оборотов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рукоятки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двухпозиционная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Антивибрационная рукоятка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пускового тока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кабеля,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2,5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шпинделя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перегрузок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33E48">
        <w:trPr>
          <w:trHeight w:hRule="exact" w:val="67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 непреднамеренного пуска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Плавный пуск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без упаковки,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2,5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Комплектация: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рукоятка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круглая гайка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под два отверстия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зажимной фланец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hRule="exact" w:val="402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защитный кожух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9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коробка/упаковка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 электрический</w:t>
            </w:r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маятниковым ходом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Мощность,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450 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питания,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Ход пилки,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18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Толщина пропила (дерево),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65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Толщина пропила (металл),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6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Регулировка оборотов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ходов, ход/минута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500 и ≤ 3100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Литая подошва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Защитный экран прозрачный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пылесосу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Кнопка блокировки, фиксирующая клавишу пуск во включенном положении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Форма ручки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скобовидная</w:t>
            </w:r>
            <w:proofErr w:type="spellEnd"/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Резиновые накладки на ручке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сетевого кабеля,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2,0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Вес без упаковки,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≤ 2,5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шестигранный ключ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набор пилок </w:t>
            </w: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шт. (обрабатываемый материал: дерево/пластик/металл; тип хвостовика:</w:t>
            </w:r>
            <w:proofErr w:type="gramEnd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T-образный)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кейс/чемодан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рубанок</w:t>
            </w:r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деревянных поверхностей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1 000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13 000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обработки,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82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глубины строгания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строгания,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 3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Выборка четверти (фальца)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глубина выборки четверти,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0,1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глубина выборки четверти,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18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упор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шума, дБ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сетевого кабеля,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2,0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Вес без упаковки,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≤ 3,6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ограничитель глубины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угольные щетки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параллельная направляющая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запасной ремень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</w:t>
            </w:r>
            <w:proofErr w:type="spell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57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офрезер</w:t>
            </w:r>
            <w:proofErr w:type="spellEnd"/>
          </w:p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 w:val="restart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для вырезки отверстий, пазов, углублений и т.д.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1700 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число оборотов,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20 000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оборотов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ход фрезы, </w:t>
            </w:r>
            <w:proofErr w:type="gramStart"/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50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Встроенный патрубок пылеотсоса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скорости вращения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Револьверный упор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Точная установка глубины фрезерования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шпинделя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сетевого кабеля,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≥ 2,0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 xml:space="preserve">Вес без упаковки, </w:t>
            </w:r>
            <w:proofErr w:type="gramStart"/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ABB">
              <w:rPr>
                <w:rFonts w:ascii="Times New Roman" w:hAnsi="Times New Roman" w:cs="Times New Roman"/>
                <w:sz w:val="24"/>
                <w:szCs w:val="24"/>
              </w:rPr>
              <w:t>≤  6,0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Комплектация: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упор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для цангового патрона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431" w:rsidRPr="00145ABB" w:rsidTr="008B1431">
        <w:trPr>
          <w:trHeight w:val="320"/>
        </w:trPr>
        <w:tc>
          <w:tcPr>
            <w:tcW w:w="862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</w:tcPr>
          <w:p w:rsidR="008B1431" w:rsidRPr="00145ABB" w:rsidRDefault="008B1431" w:rsidP="001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цанги (6 мм; 8 мм;</w:t>
            </w:r>
            <w:r w:rsidR="0057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мм)</w:t>
            </w:r>
          </w:p>
        </w:tc>
        <w:tc>
          <w:tcPr>
            <w:tcW w:w="3456" w:type="dxa"/>
            <w:shd w:val="clear" w:color="000000" w:fill="FFFFFF" w:themeFill="background1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05" w:type="dxa"/>
          </w:tcPr>
          <w:p w:rsidR="008B1431" w:rsidRPr="00145ABB" w:rsidRDefault="008B1431" w:rsidP="0014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5E9" w:rsidRDefault="001545E9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>Участник закупки</w:t>
      </w: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 xml:space="preserve">(уполномоченный представитель)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312"/>
        <w:gridCol w:w="3491"/>
        <w:gridCol w:w="320"/>
        <w:gridCol w:w="4049"/>
      </w:tblGrid>
      <w:tr w:rsidR="006513E8" w:rsidRPr="006513E8" w:rsidTr="00A40C47">
        <w:trPr>
          <w:trHeight w:val="135"/>
          <w:jc w:val="center"/>
        </w:trPr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3E8" w:rsidRPr="006513E8" w:rsidTr="00A40C47">
        <w:trPr>
          <w:trHeight w:val="352"/>
          <w:jc w:val="center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– для юридических лиц)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325E71" w:rsidRDefault="006513E8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3E8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E344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3AE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Инструкция </w:t>
      </w:r>
      <w:proofErr w:type="gramStart"/>
      <w:r w:rsidRPr="00CC3AEF">
        <w:rPr>
          <w:rFonts w:ascii="Times New Roman" w:hAnsi="Times New Roman"/>
          <w:b/>
          <w:color w:val="000000"/>
          <w:sz w:val="24"/>
          <w:szCs w:val="24"/>
        </w:rPr>
        <w:t>по предоставлению сведений в заявк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на участие в </w:t>
      </w:r>
      <w:r>
        <w:rPr>
          <w:rFonts w:ascii="Times New Roman" w:hAnsi="Times New Roman"/>
          <w:b/>
          <w:color w:val="000000"/>
          <w:sz w:val="24"/>
          <w:szCs w:val="24"/>
        </w:rPr>
        <w:t>запросе котировок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>электронно</w:t>
      </w:r>
      <w:r>
        <w:rPr>
          <w:rFonts w:ascii="Times New Roman" w:hAnsi="Times New Roman"/>
          <w:b/>
          <w:color w:val="000000"/>
          <w:sz w:val="24"/>
          <w:szCs w:val="24"/>
        </w:rPr>
        <w:t>й форме</w:t>
      </w:r>
      <w:proofErr w:type="gramEnd"/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о конкретных показателях используемых участником закупки товаров (материалов) – далее - Инструкция: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5BA6">
        <w:rPr>
          <w:rFonts w:ascii="Times New Roman" w:hAnsi="Times New Roman"/>
          <w:sz w:val="24"/>
          <w:szCs w:val="24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</w:t>
      </w:r>
      <w:r>
        <w:rPr>
          <w:rFonts w:ascii="Times New Roman" w:hAnsi="Times New Roman"/>
          <w:sz w:val="24"/>
          <w:szCs w:val="24"/>
        </w:rPr>
        <w:t>извещением запроса котировок в электронной форме</w:t>
      </w:r>
      <w:r w:rsidRPr="00645BA6">
        <w:rPr>
          <w:rFonts w:ascii="Times New Roman" w:hAnsi="Times New Roman"/>
          <w:sz w:val="24"/>
          <w:szCs w:val="24"/>
        </w:rPr>
        <w:t xml:space="preserve">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5BA6">
        <w:rPr>
          <w:rFonts w:ascii="Times New Roman" w:hAnsi="Times New Roman"/>
          <w:sz w:val="24"/>
          <w:szCs w:val="24"/>
        </w:rPr>
        <w:t>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</w:t>
      </w:r>
      <w:r>
        <w:rPr>
          <w:rFonts w:ascii="Times New Roman" w:hAnsi="Times New Roman"/>
          <w:sz w:val="24"/>
          <w:szCs w:val="24"/>
        </w:rPr>
        <w:t xml:space="preserve"> (обязательно)</w:t>
      </w:r>
      <w:r w:rsidRPr="00645BA6">
        <w:rPr>
          <w:rFonts w:ascii="Times New Roman" w:hAnsi="Times New Roman"/>
          <w:sz w:val="24"/>
          <w:szCs w:val="24"/>
        </w:rPr>
        <w:t>.</w:t>
      </w:r>
      <w:proofErr w:type="gramEnd"/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1A5">
        <w:rPr>
          <w:rFonts w:ascii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</w:t>
      </w:r>
      <w:r w:rsidRPr="00645BA6">
        <w:rPr>
          <w:rFonts w:ascii="Times New Roman" w:hAnsi="Times New Roman"/>
          <w:sz w:val="24"/>
          <w:szCs w:val="24"/>
        </w:rPr>
        <w:t xml:space="preserve">, представление которых предусмотрено </w:t>
      </w:r>
      <w:r>
        <w:rPr>
          <w:rFonts w:ascii="Times New Roman" w:hAnsi="Times New Roman"/>
          <w:sz w:val="24"/>
          <w:szCs w:val="24"/>
        </w:rPr>
        <w:t>извещением запроса котировок в электронной форме</w:t>
      </w:r>
      <w:r w:rsidRPr="00645BA6">
        <w:rPr>
          <w:rFonts w:ascii="Times New Roman" w:hAnsi="Times New Roman"/>
          <w:sz w:val="24"/>
          <w:szCs w:val="24"/>
        </w:rPr>
        <w:t xml:space="preserve"> (далее – Сведения о товаре) должны содержать значения параметров товара в </w:t>
      </w:r>
      <w:proofErr w:type="gramStart"/>
      <w:r w:rsidRPr="00645BA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с которыми Заказчик осуществляет приемку товара при выполнении работ, оказании услуг.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</w:t>
      </w:r>
      <w:r w:rsidRPr="00645BA6">
        <w:rPr>
          <w:sz w:val="24"/>
          <w:szCs w:val="24"/>
        </w:rPr>
        <w:t xml:space="preserve"> </w:t>
      </w:r>
      <w:r w:rsidRPr="00645BA6">
        <w:rPr>
          <w:rFonts w:ascii="Times New Roman" w:hAnsi="Times New Roman"/>
          <w:sz w:val="24"/>
          <w:szCs w:val="24"/>
        </w:rPr>
        <w:t>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</w:t>
      </w:r>
      <w:proofErr w:type="gramStart"/>
      <w:r w:rsidRPr="00645BA6">
        <w:rPr>
          <w:rFonts w:ascii="Times New Roman" w:hAnsi="Times New Roman"/>
          <w:sz w:val="24"/>
          <w:szCs w:val="24"/>
        </w:rPr>
        <w:t>-»</w:t>
      </w:r>
      <w:proofErr w:type="gramEnd"/>
      <w:r w:rsidRPr="00645BA6">
        <w:rPr>
          <w:rFonts w:ascii="Times New Roman" w:hAnsi="Times New Roman"/>
          <w:sz w:val="24"/>
          <w:szCs w:val="24"/>
        </w:rPr>
        <w:t>, либо указывать «не нормируется», либо указать «отсутствует».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Приложение № 1 к Техническому заданию.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форме могут быть использованы следующие знаки и обозначения: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Символ «&lt;» - означает что, участнику следует предоставить в заявке конкретный показатель, менее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 «</w:t>
      </w:r>
      <w:r w:rsidRPr="00645BA6">
        <w:rPr>
          <w:rFonts w:ascii="Times New Roman" w:hAnsi="Times New Roman"/>
          <w:i/>
          <w:sz w:val="24"/>
          <w:szCs w:val="24"/>
        </w:rPr>
        <w:t>&gt;</w:t>
      </w:r>
      <w:r w:rsidRPr="00645BA6">
        <w:rPr>
          <w:rFonts w:ascii="Times New Roman" w:hAnsi="Times New Roman"/>
          <w:sz w:val="24"/>
          <w:szCs w:val="24"/>
        </w:rPr>
        <w:t xml:space="preserve">» - означает что, участнику следует предоставить в заявке конкретный показатель, более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</w:t>
      </w:r>
      <w:r w:rsidRPr="00645BA6">
        <w:rPr>
          <w:rFonts w:ascii="Times New Roman" w:hAnsi="Times New Roman"/>
          <w:i/>
          <w:sz w:val="24"/>
          <w:szCs w:val="24"/>
        </w:rPr>
        <w:t>«</w:t>
      </w:r>
      <w:r w:rsidRPr="00645BA6">
        <w:rPr>
          <w:rFonts w:ascii="Times New Roman" w:hAnsi="Times New Roman"/>
          <w:sz w:val="24"/>
          <w:szCs w:val="24"/>
        </w:rPr>
        <w:t>не более</w:t>
      </w:r>
      <w:r w:rsidRPr="00645BA6">
        <w:rPr>
          <w:rFonts w:ascii="Times New Roman" w:hAnsi="Times New Roman"/>
          <w:i/>
          <w:sz w:val="24"/>
          <w:szCs w:val="24"/>
        </w:rPr>
        <w:t xml:space="preserve">» </w:t>
      </w:r>
      <w:r w:rsidRPr="00645BA6">
        <w:rPr>
          <w:rFonts w:ascii="Times New Roman" w:hAnsi="Times New Roman"/>
          <w:sz w:val="24"/>
          <w:szCs w:val="24"/>
        </w:rPr>
        <w:t xml:space="preserve"> - означает что, участнику следует предоставить в заявке конкретный показатель, менее указанного значения или равный ему;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5BA6">
        <w:rPr>
          <w:rFonts w:ascii="Times New Roman" w:hAnsi="Times New Roman"/>
          <w:i/>
          <w:sz w:val="24"/>
          <w:szCs w:val="24"/>
        </w:rPr>
        <w:t xml:space="preserve">Символ «≥» - </w:t>
      </w:r>
      <w:r w:rsidRPr="00645BA6">
        <w:rPr>
          <w:rFonts w:ascii="Times New Roman" w:hAnsi="Times New Roman"/>
          <w:sz w:val="24"/>
          <w:szCs w:val="24"/>
        </w:rPr>
        <w:t>означает что, участнику следует предоставить в заявке конкретный показатель, более указанного значения или равный ему</w:t>
      </w:r>
      <w:r w:rsidRPr="00645BA6">
        <w:rPr>
          <w:rFonts w:ascii="Times New Roman" w:hAnsi="Times New Roman"/>
          <w:i/>
          <w:sz w:val="24"/>
          <w:szCs w:val="24"/>
        </w:rPr>
        <w:t xml:space="preserve">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5BA6">
        <w:rPr>
          <w:rFonts w:ascii="Times New Roman" w:hAnsi="Times New Roman"/>
          <w:i/>
          <w:sz w:val="24"/>
          <w:szCs w:val="24"/>
        </w:rPr>
        <w:t xml:space="preserve">Символ «≤» - </w:t>
      </w:r>
      <w:r w:rsidRPr="00645BA6">
        <w:rPr>
          <w:rFonts w:ascii="Times New Roman" w:hAnsi="Times New Roman"/>
          <w:sz w:val="24"/>
          <w:szCs w:val="24"/>
        </w:rPr>
        <w:t>означает что, участнику следует предоставить в заявке конкретный показатель, менее указанного значения или равный ему</w:t>
      </w:r>
      <w:r w:rsidRPr="00645BA6">
        <w:rPr>
          <w:rFonts w:ascii="Times New Roman" w:hAnsi="Times New Roman"/>
          <w:i/>
          <w:sz w:val="24"/>
          <w:szCs w:val="24"/>
        </w:rPr>
        <w:t>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«Не выше» - означает что, участнику следует предоставить в заявке конкретный показатель, не </w:t>
      </w:r>
      <w:proofErr w:type="gramStart"/>
      <w:r w:rsidRPr="00645BA6">
        <w:rPr>
          <w:rFonts w:ascii="Times New Roman" w:hAnsi="Times New Roman"/>
          <w:sz w:val="24"/>
          <w:szCs w:val="24"/>
        </w:rPr>
        <w:t>более указанного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«Не ниже» - означает что, участнику следует предоставить в заявке конкретный показатель, не </w:t>
      </w:r>
      <w:proofErr w:type="gramStart"/>
      <w:r w:rsidRPr="00645BA6">
        <w:rPr>
          <w:rFonts w:ascii="Times New Roman" w:hAnsi="Times New Roman"/>
          <w:sz w:val="24"/>
          <w:szCs w:val="24"/>
        </w:rPr>
        <w:t>менее указанного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символы «±», «&lt;», «&gt;», «≥», «≤» устанавливаются в требуемом значении Сведений о товарах слева от числового значения показателя.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указания требуемого значения с использованием символа</w:t>
      </w:r>
      <w:proofErr w:type="gramStart"/>
      <w:r w:rsidRPr="00645BA6">
        <w:rPr>
          <w:rFonts w:ascii="Times New Roman" w:hAnsi="Times New Roman"/>
          <w:sz w:val="24"/>
          <w:szCs w:val="24"/>
        </w:rPr>
        <w:t xml:space="preserve"> «[ ]» </w:t>
      </w:r>
      <w:proofErr w:type="gramEnd"/>
      <w:r w:rsidRPr="00645BA6">
        <w:rPr>
          <w:rFonts w:ascii="Times New Roman" w:hAnsi="Times New Roman"/>
          <w:sz w:val="24"/>
          <w:szCs w:val="24"/>
        </w:rPr>
        <w:t>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</w:t>
      </w:r>
      <w:proofErr w:type="gramStart"/>
      <w:r w:rsidRPr="00645BA6">
        <w:rPr>
          <w:rFonts w:ascii="Times New Roman" w:hAnsi="Times New Roman"/>
          <w:sz w:val="24"/>
          <w:szCs w:val="24"/>
        </w:rPr>
        <w:t>й(</w:t>
      </w:r>
      <w:proofErr w:type="gramEnd"/>
      <w:r w:rsidRPr="00645BA6">
        <w:rPr>
          <w:rFonts w:ascii="Times New Roman" w:hAnsi="Times New Roman"/>
          <w:sz w:val="24"/>
          <w:szCs w:val="24"/>
        </w:rPr>
        <w:t>-</w:t>
      </w:r>
      <w:proofErr w:type="spellStart"/>
      <w:r w:rsidRPr="00645BA6">
        <w:rPr>
          <w:rFonts w:ascii="Times New Roman" w:hAnsi="Times New Roman"/>
          <w:sz w:val="24"/>
          <w:szCs w:val="24"/>
        </w:rPr>
        <w:t>ые</w:t>
      </w:r>
      <w:proofErr w:type="spellEnd"/>
      <w:r w:rsidRPr="00645BA6">
        <w:rPr>
          <w:rFonts w:ascii="Times New Roman" w:hAnsi="Times New Roman"/>
          <w:sz w:val="24"/>
          <w:szCs w:val="24"/>
        </w:rPr>
        <w:t>) показатель (-и) из данного диапазона не включая крайние значения.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если требуемое значение параметра сопровождается   знаком * (звездочка), в том числе значение, включенное в диапазон значений, то участник вправе указать крайнее значение требуемого параметра.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645BA6">
        <w:rPr>
          <w:rFonts w:ascii="Times New Roman" w:hAnsi="Times New Roman"/>
          <w:sz w:val="24"/>
          <w:szCs w:val="24"/>
        </w:rPr>
        <w:t>,</w:t>
      </w:r>
      <w:proofErr w:type="gramEnd"/>
      <w:r w:rsidRPr="00645BA6">
        <w:rPr>
          <w:rFonts w:ascii="Times New Roman" w:hAnsi="Times New Roman"/>
          <w:sz w:val="24"/>
          <w:szCs w:val="24"/>
        </w:rPr>
        <w:t xml:space="preserve"> не допускается указание крайнего значения параметра, не сопровождающегося знаком * (звездочка).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товара,  указанного в </w:t>
      </w:r>
      <w:r>
        <w:rPr>
          <w:rFonts w:ascii="Times New Roman" w:hAnsi="Times New Roman"/>
          <w:sz w:val="24"/>
          <w:szCs w:val="24"/>
        </w:rPr>
        <w:t>заявке запроса котировок</w:t>
      </w:r>
      <w:r w:rsidRPr="00645BA6">
        <w:rPr>
          <w:rFonts w:ascii="Times New Roman" w:hAnsi="Times New Roman"/>
          <w:sz w:val="24"/>
          <w:szCs w:val="24"/>
        </w:rPr>
        <w:t xml:space="preserve"> в электронной форме, несет участник закупки.</w:t>
      </w: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</w:pPr>
    </w:p>
    <w:sectPr w:rsidR="00E34407" w:rsidSect="00C1219C">
      <w:pgSz w:w="16838" w:h="11906" w:orient="landscape"/>
      <w:pgMar w:top="709" w:right="567" w:bottom="709" w:left="567" w:header="397" w:footer="6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E8"/>
    <w:rsid w:val="00145ABB"/>
    <w:rsid w:val="00153BD5"/>
    <w:rsid w:val="001545E9"/>
    <w:rsid w:val="002E0BEF"/>
    <w:rsid w:val="003D0DF7"/>
    <w:rsid w:val="00405572"/>
    <w:rsid w:val="0057513C"/>
    <w:rsid w:val="005A3E4F"/>
    <w:rsid w:val="005C5BE2"/>
    <w:rsid w:val="00642371"/>
    <w:rsid w:val="006513E8"/>
    <w:rsid w:val="00791334"/>
    <w:rsid w:val="007E4744"/>
    <w:rsid w:val="00833E48"/>
    <w:rsid w:val="008B1431"/>
    <w:rsid w:val="0091642E"/>
    <w:rsid w:val="00A40C47"/>
    <w:rsid w:val="00B27FD6"/>
    <w:rsid w:val="00B73F38"/>
    <w:rsid w:val="00B9223F"/>
    <w:rsid w:val="00C547BD"/>
    <w:rsid w:val="00C930F9"/>
    <w:rsid w:val="00D51142"/>
    <w:rsid w:val="00E1613A"/>
    <w:rsid w:val="00E34407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16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шрифт абзаца3"/>
    <w:rsid w:val="00E1613A"/>
    <w:rPr>
      <w:sz w:val="24"/>
    </w:rPr>
  </w:style>
  <w:style w:type="character" w:customStyle="1" w:styleId="ConsPlusNormal0">
    <w:name w:val="ConsPlusNormal Знак"/>
    <w:link w:val="ConsPlusNormal"/>
    <w:locked/>
    <w:rsid w:val="00E1613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16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шрифт абзаца3"/>
    <w:rsid w:val="00E1613A"/>
    <w:rPr>
      <w:sz w:val="24"/>
    </w:rPr>
  </w:style>
  <w:style w:type="character" w:customStyle="1" w:styleId="ConsPlusNormal0">
    <w:name w:val="ConsPlusNormal Знак"/>
    <w:link w:val="ConsPlusNormal"/>
    <w:locked/>
    <w:rsid w:val="00E1613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2E8E-2AA5-4267-8388-7399866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2020-03-12T08:10:00Z</cp:lastPrinted>
  <dcterms:created xsi:type="dcterms:W3CDTF">2020-04-20T09:53:00Z</dcterms:created>
  <dcterms:modified xsi:type="dcterms:W3CDTF">2020-04-20T09:53:00Z</dcterms:modified>
</cp:coreProperties>
</file>