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EE" w:rsidRDefault="00E905EE"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«Утверждаю»</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Заместитель директора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по развитию и информатизации</w:t>
      </w:r>
    </w:p>
    <w:p w:rsidR="00A40F47" w:rsidRPr="00137E0E" w:rsidRDefault="00A40F47"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_______________С.В. Корниенко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                                                                        </w:t>
      </w:r>
    </w:p>
    <w:p w:rsidR="00A40F47" w:rsidRPr="00137E0E" w:rsidRDefault="00A40F47" w:rsidP="00382BDF">
      <w:pPr>
        <w:spacing w:after="0" w:line="240" w:lineRule="auto"/>
        <w:ind w:firstLine="709"/>
        <w:jc w:val="right"/>
        <w:rPr>
          <w:rFonts w:ascii="Times New Roman" w:hAnsi="Times New Roman"/>
          <w:b/>
          <w:sz w:val="24"/>
          <w:szCs w:val="24"/>
          <w:highlight w:val="yellow"/>
        </w:rPr>
      </w:pPr>
      <w:r w:rsidRPr="00137E0E">
        <w:rPr>
          <w:rFonts w:ascii="Times New Roman" w:hAnsi="Times New Roman"/>
          <w:b/>
          <w:sz w:val="24"/>
          <w:szCs w:val="24"/>
        </w:rPr>
        <w:t>«___» ________________ 2020г.</w:t>
      </w:r>
    </w:p>
    <w:p w:rsidR="00A40F47" w:rsidRPr="00137E0E" w:rsidRDefault="00A40F47" w:rsidP="00382BDF">
      <w:pPr>
        <w:spacing w:after="0" w:line="240" w:lineRule="auto"/>
        <w:ind w:firstLine="709"/>
        <w:jc w:val="center"/>
        <w:rPr>
          <w:rFonts w:ascii="Times New Roman" w:hAnsi="Times New Roman"/>
          <w:b/>
          <w:sz w:val="24"/>
          <w:szCs w:val="24"/>
          <w:highlight w:val="yellow"/>
        </w:rPr>
      </w:pPr>
    </w:p>
    <w:p w:rsidR="00E905EE" w:rsidRDefault="00E905EE" w:rsidP="00625B97">
      <w:pPr>
        <w:spacing w:after="0" w:line="240" w:lineRule="auto"/>
        <w:ind w:firstLine="709"/>
        <w:jc w:val="center"/>
        <w:rPr>
          <w:rFonts w:ascii="Times New Roman" w:hAnsi="Times New Roman"/>
          <w:b/>
          <w:sz w:val="24"/>
          <w:szCs w:val="24"/>
        </w:rPr>
      </w:pPr>
    </w:p>
    <w:p w:rsidR="00E905EE" w:rsidRDefault="00E905EE" w:rsidP="00625B97">
      <w:pPr>
        <w:spacing w:after="0" w:line="240" w:lineRule="auto"/>
        <w:ind w:firstLine="709"/>
        <w:jc w:val="center"/>
        <w:rPr>
          <w:rFonts w:ascii="Times New Roman" w:hAnsi="Times New Roman"/>
          <w:b/>
          <w:sz w:val="24"/>
          <w:szCs w:val="24"/>
        </w:rPr>
      </w:pPr>
    </w:p>
    <w:p w:rsidR="00625B97" w:rsidRDefault="004D7CB8" w:rsidP="00625B97">
      <w:pPr>
        <w:spacing w:after="0" w:line="240" w:lineRule="auto"/>
        <w:ind w:firstLine="709"/>
        <w:jc w:val="center"/>
        <w:rPr>
          <w:rFonts w:ascii="Times New Roman" w:hAnsi="Times New Roman"/>
          <w:b/>
          <w:color w:val="000000"/>
          <w:sz w:val="24"/>
          <w:szCs w:val="24"/>
        </w:rPr>
      </w:pPr>
      <w:r w:rsidRPr="00625B97">
        <w:rPr>
          <w:rFonts w:ascii="Times New Roman" w:hAnsi="Times New Roman"/>
          <w:b/>
          <w:sz w:val="24"/>
          <w:szCs w:val="24"/>
        </w:rPr>
        <w:t xml:space="preserve">Извещение о закупке </w:t>
      </w:r>
      <w:r w:rsidR="00A37697" w:rsidRPr="00625B97">
        <w:rPr>
          <w:rFonts w:ascii="Times New Roman" w:hAnsi="Times New Roman"/>
          <w:b/>
          <w:sz w:val="24"/>
          <w:szCs w:val="24"/>
        </w:rPr>
        <w:t>№</w:t>
      </w:r>
      <w:r w:rsidRPr="00625B97">
        <w:rPr>
          <w:rFonts w:ascii="Times New Roman" w:hAnsi="Times New Roman"/>
          <w:b/>
          <w:sz w:val="24"/>
          <w:szCs w:val="24"/>
        </w:rPr>
        <w:t xml:space="preserve"> </w:t>
      </w:r>
      <w:r w:rsidR="00625B97" w:rsidRPr="00625B97">
        <w:rPr>
          <w:rFonts w:ascii="Times New Roman" w:hAnsi="Times New Roman"/>
          <w:b/>
          <w:color w:val="000000"/>
          <w:sz w:val="24"/>
          <w:szCs w:val="24"/>
        </w:rPr>
        <w:t>ИПУ2020/ЗКЭФ-</w:t>
      </w:r>
      <w:r w:rsidR="00D41414">
        <w:rPr>
          <w:rFonts w:ascii="Times New Roman" w:hAnsi="Times New Roman"/>
          <w:b/>
          <w:color w:val="000000"/>
          <w:sz w:val="24"/>
          <w:szCs w:val="24"/>
        </w:rPr>
        <w:t>08</w:t>
      </w:r>
    </w:p>
    <w:p w:rsidR="00625B97" w:rsidRPr="00625B97" w:rsidRDefault="00625B97" w:rsidP="00625B97">
      <w:pPr>
        <w:spacing w:after="0" w:line="240" w:lineRule="auto"/>
        <w:ind w:firstLine="709"/>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760"/>
      </w:tblGrid>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Объект закупки</w:t>
            </w:r>
          </w:p>
        </w:tc>
        <w:tc>
          <w:tcPr>
            <w:tcW w:w="6760" w:type="dxa"/>
            <w:shd w:val="clear" w:color="auto" w:fill="auto"/>
          </w:tcPr>
          <w:p w:rsidR="004D7CB8" w:rsidRPr="00491170" w:rsidRDefault="00B30AF0" w:rsidP="000D13B7">
            <w:pPr>
              <w:spacing w:after="0" w:line="240" w:lineRule="auto"/>
              <w:jc w:val="both"/>
              <w:rPr>
                <w:rFonts w:ascii="Times New Roman" w:hAnsi="Times New Roman"/>
                <w:sz w:val="24"/>
                <w:szCs w:val="24"/>
              </w:rPr>
            </w:pPr>
            <w:r>
              <w:rPr>
                <w:rFonts w:ascii="Times New Roman" w:hAnsi="Times New Roman"/>
                <w:sz w:val="24"/>
                <w:szCs w:val="24"/>
              </w:rPr>
              <w:t>П</w:t>
            </w:r>
            <w:r w:rsidRPr="00B30AF0">
              <w:rPr>
                <w:rFonts w:ascii="Times New Roman" w:hAnsi="Times New Roman"/>
                <w:sz w:val="24"/>
                <w:szCs w:val="24"/>
              </w:rPr>
              <w:t>оставка инструментов ручных электрических для нужд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 заказчике</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Наименование 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(сокращенно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 xml:space="preserve">Место нахождения </w:t>
            </w:r>
            <w:r w:rsidR="00A37697" w:rsidRPr="00491170">
              <w:rPr>
                <w:rFonts w:ascii="Times New Roman" w:hAnsi="Times New Roman"/>
                <w:sz w:val="24"/>
                <w:szCs w:val="24"/>
              </w:rPr>
              <w:t>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Россия, город Москва, улица Профсоюзная, дом 65</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Почтовый адрес заказчика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ГСП-7, город Москва, улица Профсоюзная, дом 65</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Контактная информация</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+7 (495) 334-91-79</w:t>
            </w:r>
          </w:p>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Контактное лицо: </w:t>
            </w:r>
            <w:r w:rsidR="00A37697" w:rsidRPr="00491170">
              <w:rPr>
                <w:rFonts w:ascii="Times New Roman" w:hAnsi="Times New Roman"/>
                <w:sz w:val="24"/>
                <w:szCs w:val="24"/>
              </w:rPr>
              <w:t xml:space="preserve">Тимохин Дмитрий Александрович </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Адрес электронной почты</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kontrakt@ipu.ru</w:t>
            </w:r>
          </w:p>
        </w:tc>
      </w:tr>
      <w:tr w:rsidR="004D7CB8" w:rsidRPr="00491170" w:rsidTr="005969F3">
        <w:trPr>
          <w:jc w:val="center"/>
        </w:trPr>
        <w:tc>
          <w:tcPr>
            <w:tcW w:w="3544"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Информация о контрактной службе, контрактном управляющем, об ответственных за заключение контракта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Руководитель контрактного отдела: Тимохин Дмитрий Александрович</w:t>
            </w:r>
          </w:p>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Контактный телефон: 8 (495) 334-91-79</w:t>
            </w:r>
          </w:p>
          <w:p w:rsidR="004D7CB8" w:rsidRPr="00491170" w:rsidRDefault="004D7CB8" w:rsidP="00491170">
            <w:pPr>
              <w:spacing w:after="0" w:line="240" w:lineRule="auto"/>
              <w:rPr>
                <w:rFonts w:ascii="Times New Roman" w:hAnsi="Times New Roman"/>
                <w:sz w:val="24"/>
                <w:szCs w:val="24"/>
                <w:lang w:val="en-US"/>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Способ определения поставщика (подрядчика, исполнителя)</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Запрос котировок</w:t>
            </w:r>
            <w:r w:rsidR="00A11125" w:rsidRPr="00491170">
              <w:rPr>
                <w:rFonts w:ascii="Times New Roman" w:hAnsi="Times New Roman"/>
                <w:sz w:val="24"/>
                <w:szCs w:val="24"/>
              </w:rPr>
              <w:t xml:space="preserve"> в электронной форме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Валюта</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Российский рубль</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Источник финансирования</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Субсидии на выполнение государственного задания</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об объекте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Наименование</w:t>
            </w:r>
          </w:p>
        </w:tc>
        <w:tc>
          <w:tcPr>
            <w:tcW w:w="6760" w:type="dxa"/>
            <w:shd w:val="clear" w:color="auto" w:fill="auto"/>
          </w:tcPr>
          <w:p w:rsidR="004D7CB8" w:rsidRPr="00491170" w:rsidRDefault="00206075" w:rsidP="00B30AF0">
            <w:pPr>
              <w:spacing w:after="0" w:line="240" w:lineRule="auto"/>
              <w:jc w:val="both"/>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r w:rsidR="00B30AF0">
              <w:rPr>
                <w:rFonts w:ascii="Times New Roman" w:hAnsi="Times New Roman"/>
                <w:sz w:val="24"/>
                <w:szCs w:val="24"/>
              </w:rPr>
              <w:t xml:space="preserve"> </w:t>
            </w:r>
            <w:r w:rsidR="00597C6F">
              <w:rPr>
                <w:rFonts w:ascii="Times New Roman" w:hAnsi="Times New Roman"/>
                <w:sz w:val="24"/>
                <w:szCs w:val="24"/>
              </w:rPr>
              <w:t>(</w:t>
            </w:r>
            <w:r w:rsidR="00B30AF0">
              <w:rPr>
                <w:rFonts w:ascii="Times New Roman" w:hAnsi="Times New Roman"/>
                <w:sz w:val="24"/>
                <w:szCs w:val="24"/>
              </w:rPr>
              <w:t>д</w:t>
            </w:r>
            <w:r w:rsidR="00B30AF0" w:rsidRPr="00B30AF0">
              <w:rPr>
                <w:rFonts w:ascii="Times New Roman" w:hAnsi="Times New Roman"/>
                <w:sz w:val="24"/>
                <w:szCs w:val="24"/>
              </w:rPr>
              <w:t>рель-шуроповерт</w:t>
            </w:r>
            <w:r w:rsidR="00B30AF0">
              <w:rPr>
                <w:rFonts w:ascii="Times New Roman" w:hAnsi="Times New Roman"/>
                <w:sz w:val="24"/>
                <w:szCs w:val="24"/>
              </w:rPr>
              <w:t>, м</w:t>
            </w:r>
            <w:r w:rsidR="00B30AF0" w:rsidRPr="00B30AF0">
              <w:rPr>
                <w:rFonts w:ascii="Times New Roman" w:hAnsi="Times New Roman"/>
                <w:sz w:val="24"/>
                <w:szCs w:val="24"/>
              </w:rPr>
              <w:t>ашина углошлифовальная</w:t>
            </w:r>
            <w:r w:rsidR="00B30AF0">
              <w:rPr>
                <w:rFonts w:ascii="Times New Roman" w:hAnsi="Times New Roman"/>
                <w:sz w:val="24"/>
                <w:szCs w:val="24"/>
              </w:rPr>
              <w:t>,  л</w:t>
            </w:r>
            <w:r w:rsidR="00B30AF0" w:rsidRPr="00B30AF0">
              <w:rPr>
                <w:rFonts w:ascii="Times New Roman" w:hAnsi="Times New Roman"/>
                <w:sz w:val="24"/>
                <w:szCs w:val="24"/>
              </w:rPr>
              <w:t>обзик электрический</w:t>
            </w:r>
            <w:r w:rsidR="00B30AF0">
              <w:rPr>
                <w:rFonts w:ascii="Times New Roman" w:hAnsi="Times New Roman"/>
                <w:sz w:val="24"/>
                <w:szCs w:val="24"/>
              </w:rPr>
              <w:t>, э</w:t>
            </w:r>
            <w:r w:rsidR="00B30AF0" w:rsidRPr="00B30AF0">
              <w:rPr>
                <w:rFonts w:ascii="Times New Roman" w:hAnsi="Times New Roman"/>
                <w:sz w:val="24"/>
                <w:szCs w:val="24"/>
              </w:rPr>
              <w:t>лектрический рубанок</w:t>
            </w:r>
            <w:r w:rsidR="00B30AF0">
              <w:rPr>
                <w:rFonts w:ascii="Times New Roman" w:hAnsi="Times New Roman"/>
                <w:sz w:val="24"/>
                <w:szCs w:val="24"/>
              </w:rPr>
              <w:t>, р</w:t>
            </w:r>
            <w:r w:rsidR="00B30AF0" w:rsidRPr="00B30AF0">
              <w:rPr>
                <w:rFonts w:ascii="Times New Roman" w:hAnsi="Times New Roman"/>
                <w:sz w:val="24"/>
                <w:szCs w:val="24"/>
              </w:rPr>
              <w:t>учной электрофрезер</w:t>
            </w:r>
            <w:r w:rsidR="001713A5">
              <w:rPr>
                <w:rFonts w:ascii="Times New Roman" w:hAnsi="Times New Roman"/>
                <w:sz w:val="24"/>
                <w:szCs w:val="24"/>
              </w:rPr>
              <w:t>)</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Код позиции </w:t>
            </w:r>
            <w:r w:rsidR="00387B46" w:rsidRPr="00491170">
              <w:rPr>
                <w:rFonts w:ascii="Times New Roman" w:hAnsi="Times New Roman"/>
                <w:sz w:val="24"/>
                <w:szCs w:val="24"/>
              </w:rPr>
              <w:t>ОКПД 2 (КТРУ)</w:t>
            </w:r>
          </w:p>
        </w:tc>
        <w:tc>
          <w:tcPr>
            <w:tcW w:w="6760" w:type="dxa"/>
            <w:shd w:val="clear" w:color="auto" w:fill="auto"/>
          </w:tcPr>
          <w:p w:rsidR="00B30AF0" w:rsidRPr="00B30AF0" w:rsidRDefault="00B30AF0" w:rsidP="00B30AF0">
            <w:pPr>
              <w:autoSpaceDE w:val="0"/>
              <w:autoSpaceDN w:val="0"/>
              <w:adjustRightInd w:val="0"/>
              <w:spacing w:after="0" w:line="240" w:lineRule="auto"/>
              <w:jc w:val="both"/>
              <w:rPr>
                <w:rFonts w:ascii="Times New Roman" w:hAnsi="Times New Roman"/>
                <w:sz w:val="24"/>
                <w:szCs w:val="24"/>
              </w:rPr>
            </w:pPr>
            <w:r w:rsidRPr="00B30AF0">
              <w:rPr>
                <w:rFonts w:ascii="Times New Roman" w:hAnsi="Times New Roman"/>
                <w:sz w:val="24"/>
                <w:szCs w:val="24"/>
              </w:rPr>
              <w:t>ОКПД</w:t>
            </w:r>
            <w:r>
              <w:rPr>
                <w:rFonts w:ascii="Times New Roman" w:hAnsi="Times New Roman"/>
                <w:sz w:val="24"/>
                <w:szCs w:val="24"/>
              </w:rPr>
              <w:t xml:space="preserve"> </w:t>
            </w:r>
            <w:r w:rsidRPr="00B30AF0">
              <w:rPr>
                <w:rFonts w:ascii="Times New Roman" w:hAnsi="Times New Roman"/>
                <w:sz w:val="24"/>
                <w:szCs w:val="24"/>
              </w:rPr>
              <w:t>2: 28.24.11.000 - Инструменты ручные электрические.</w:t>
            </w:r>
          </w:p>
          <w:p w:rsidR="004D7CB8" w:rsidRPr="00491170" w:rsidRDefault="00B30AF0" w:rsidP="00B30A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B30AF0">
              <w:rPr>
                <w:rFonts w:ascii="Times New Roman" w:hAnsi="Times New Roman"/>
                <w:sz w:val="24"/>
                <w:szCs w:val="24"/>
              </w:rPr>
              <w:t>КТРУ: 28.24.10.000-00000001 - Инструменты ручные электрические; инструменты ручные прочие с механизированным приводом</w:t>
            </w:r>
            <w:r>
              <w:rPr>
                <w:rFonts w:ascii="Times New Roman" w:hAnsi="Times New Roman"/>
                <w:sz w:val="24"/>
                <w:szCs w:val="24"/>
              </w:rPr>
              <w:t>)</w:t>
            </w:r>
            <w:r w:rsidR="000B09DA" w:rsidRPr="000B09DA">
              <w:rPr>
                <w:rFonts w:ascii="Roboto" w:hAnsi="Roboto" w:cs="Arial"/>
                <w:color w:val="909EBB"/>
                <w:sz w:val="20"/>
                <w:szCs w:val="20"/>
              </w:rPr>
              <w:t xml:space="preserve"> </w:t>
            </w:r>
            <w:r w:rsidR="000B09DA" w:rsidRPr="000B09DA">
              <w:rPr>
                <w:rFonts w:ascii="Times New Roman" w:hAnsi="Times New Roman"/>
                <w:i/>
                <w:sz w:val="24"/>
                <w:szCs w:val="24"/>
              </w:rPr>
              <w:t>Обязательное применение 01.01.2021</w:t>
            </w:r>
            <w:bookmarkStart w:id="0" w:name="_GoBack"/>
            <w:bookmarkEnd w:id="0"/>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Единица измерения</w:t>
            </w:r>
          </w:p>
        </w:tc>
        <w:tc>
          <w:tcPr>
            <w:tcW w:w="6760" w:type="dxa"/>
            <w:shd w:val="clear" w:color="auto" w:fill="auto"/>
          </w:tcPr>
          <w:p w:rsidR="004D7CB8" w:rsidRPr="00491170" w:rsidRDefault="00855DAA" w:rsidP="00C905CB">
            <w:pPr>
              <w:spacing w:after="0" w:line="240" w:lineRule="auto"/>
              <w:rPr>
                <w:rFonts w:ascii="Times New Roman" w:hAnsi="Times New Roman"/>
                <w:sz w:val="24"/>
                <w:szCs w:val="24"/>
              </w:rPr>
            </w:pPr>
            <w:r>
              <w:rPr>
                <w:rFonts w:ascii="Times New Roman" w:hAnsi="Times New Roman"/>
                <w:sz w:val="24"/>
                <w:szCs w:val="24"/>
              </w:rPr>
              <w:t>штука</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Количество</w:t>
            </w:r>
          </w:p>
        </w:tc>
        <w:tc>
          <w:tcPr>
            <w:tcW w:w="6760" w:type="dxa"/>
            <w:shd w:val="clear" w:color="auto" w:fill="auto"/>
          </w:tcPr>
          <w:p w:rsidR="004D7CB8" w:rsidRPr="00491170" w:rsidRDefault="00206075" w:rsidP="00C905CB">
            <w:pPr>
              <w:spacing w:after="0" w:line="240" w:lineRule="auto"/>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r w:rsidR="00855DAA">
              <w:rPr>
                <w:rFonts w:ascii="Times New Roman" w:hAnsi="Times New Roman"/>
                <w:sz w:val="24"/>
                <w:szCs w:val="24"/>
              </w:rPr>
              <w:t>.</w:t>
            </w:r>
          </w:p>
        </w:tc>
      </w:tr>
      <w:tr w:rsidR="004D7CB8" w:rsidRPr="00491170" w:rsidTr="005969F3">
        <w:trPr>
          <w:jc w:val="center"/>
        </w:trPr>
        <w:tc>
          <w:tcPr>
            <w:tcW w:w="3544" w:type="dxa"/>
            <w:shd w:val="clear" w:color="auto" w:fill="auto"/>
          </w:tcPr>
          <w:p w:rsidR="004D7CB8" w:rsidRPr="00FC6B39" w:rsidRDefault="004D7CB8" w:rsidP="00491170">
            <w:pPr>
              <w:spacing w:after="0" w:line="240" w:lineRule="auto"/>
              <w:rPr>
                <w:rFonts w:ascii="Times New Roman" w:hAnsi="Times New Roman"/>
                <w:sz w:val="24"/>
                <w:szCs w:val="24"/>
              </w:rPr>
            </w:pPr>
            <w:r w:rsidRPr="00312EC3">
              <w:rPr>
                <w:rFonts w:ascii="Times New Roman" w:hAnsi="Times New Roman"/>
                <w:sz w:val="24"/>
                <w:szCs w:val="24"/>
              </w:rPr>
              <w:t>Идентификационный код закупки (ИКЗ)</w:t>
            </w:r>
          </w:p>
        </w:tc>
        <w:tc>
          <w:tcPr>
            <w:tcW w:w="6760" w:type="dxa"/>
            <w:shd w:val="clear" w:color="auto" w:fill="auto"/>
          </w:tcPr>
          <w:p w:rsidR="004D7CB8" w:rsidRPr="00491170" w:rsidRDefault="00312EC3" w:rsidP="00491170">
            <w:pPr>
              <w:spacing w:after="0" w:line="240" w:lineRule="auto"/>
              <w:rPr>
                <w:rFonts w:ascii="Times New Roman" w:hAnsi="Times New Roman"/>
                <w:sz w:val="24"/>
                <w:szCs w:val="24"/>
                <w:highlight w:val="yellow"/>
              </w:rPr>
            </w:pPr>
            <w:r w:rsidRPr="00312EC3">
              <w:rPr>
                <w:rFonts w:ascii="Times New Roman" w:hAnsi="Times New Roman"/>
                <w:sz w:val="24"/>
                <w:szCs w:val="24"/>
              </w:rPr>
              <w:t xml:space="preserve">20177280135127728010010022 </w:t>
            </w:r>
            <w:r w:rsidR="00741B7E">
              <w:rPr>
                <w:rFonts w:ascii="Times New Roman" w:hAnsi="Times New Roman"/>
                <w:sz w:val="24"/>
                <w:szCs w:val="24"/>
              </w:rPr>
              <w:t>027</w:t>
            </w:r>
            <w:r w:rsidRPr="00312EC3">
              <w:rPr>
                <w:rFonts w:ascii="Times New Roman" w:hAnsi="Times New Roman"/>
                <w:sz w:val="24"/>
                <w:szCs w:val="24"/>
              </w:rPr>
              <w:t xml:space="preserve"> 2824 000</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процедуре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Дата и </w:t>
            </w:r>
            <w:r w:rsidR="00A11125" w:rsidRPr="00491170">
              <w:rPr>
                <w:rFonts w:ascii="Times New Roman" w:hAnsi="Times New Roman"/>
                <w:sz w:val="24"/>
                <w:szCs w:val="24"/>
              </w:rPr>
              <w:t>время начала подачи</w:t>
            </w:r>
            <w:r w:rsidRPr="00491170">
              <w:rPr>
                <w:rFonts w:ascii="Times New Roman" w:hAnsi="Times New Roman"/>
                <w:sz w:val="24"/>
                <w:szCs w:val="24"/>
              </w:rPr>
              <w:t xml:space="preserve"> заявок</w:t>
            </w:r>
            <w:r w:rsidR="00A11125" w:rsidRPr="00491170">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491170" w:rsidRDefault="00A11125"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в извещении даты и времени окончания срока подачи заявок на участие в таком запросе</w:t>
            </w:r>
          </w:p>
        </w:tc>
      </w:tr>
      <w:tr w:rsidR="004D7CB8" w:rsidRPr="00491170" w:rsidTr="005969F3">
        <w:trPr>
          <w:jc w:val="center"/>
        </w:trPr>
        <w:tc>
          <w:tcPr>
            <w:tcW w:w="3544" w:type="dxa"/>
            <w:shd w:val="clear" w:color="auto" w:fill="auto"/>
          </w:tcPr>
          <w:p w:rsidR="004D7CB8" w:rsidRPr="00D41414" w:rsidRDefault="004D7CB8" w:rsidP="00491170">
            <w:pPr>
              <w:spacing w:after="0" w:line="240" w:lineRule="auto"/>
              <w:rPr>
                <w:rFonts w:ascii="Times New Roman" w:hAnsi="Times New Roman"/>
                <w:sz w:val="24"/>
                <w:szCs w:val="24"/>
                <w:highlight w:val="yellow"/>
              </w:rPr>
            </w:pPr>
            <w:r w:rsidRPr="00312EC3">
              <w:rPr>
                <w:rFonts w:ascii="Times New Roman" w:hAnsi="Times New Roman"/>
                <w:sz w:val="24"/>
                <w:szCs w:val="24"/>
              </w:rPr>
              <w:lastRenderedPageBreak/>
              <w:t>Дата и время окончания подачи заявок</w:t>
            </w:r>
            <w:r w:rsidR="00A11125" w:rsidRPr="00312EC3">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FC6B39" w:rsidRDefault="00312EC3" w:rsidP="00FC6B39">
            <w:pPr>
              <w:spacing w:after="0" w:line="240" w:lineRule="auto"/>
              <w:rPr>
                <w:rFonts w:ascii="Times New Roman" w:hAnsi="Times New Roman"/>
                <w:sz w:val="24"/>
                <w:szCs w:val="24"/>
              </w:rPr>
            </w:pPr>
            <w:r>
              <w:rPr>
                <w:rFonts w:ascii="Times New Roman" w:hAnsi="Times New Roman"/>
                <w:sz w:val="24"/>
                <w:szCs w:val="24"/>
              </w:rPr>
              <w:t xml:space="preserve">04.06.2020 </w:t>
            </w:r>
            <w:r w:rsidR="00FC6B39" w:rsidRPr="00FC6B39">
              <w:rPr>
                <w:rFonts w:ascii="Times New Roman" w:hAnsi="Times New Roman"/>
                <w:sz w:val="24"/>
                <w:szCs w:val="24"/>
              </w:rPr>
              <w:t>23</w:t>
            </w:r>
            <w:r w:rsidR="004D7CB8" w:rsidRPr="00FC6B39">
              <w:rPr>
                <w:rFonts w:ascii="Times New Roman" w:hAnsi="Times New Roman"/>
                <w:sz w:val="24"/>
                <w:szCs w:val="24"/>
              </w:rPr>
              <w:t>:</w:t>
            </w:r>
            <w:r w:rsidR="00FC6B39" w:rsidRPr="00FC6B39">
              <w:rPr>
                <w:rFonts w:ascii="Times New Roman" w:hAnsi="Times New Roman"/>
                <w:sz w:val="24"/>
                <w:szCs w:val="24"/>
              </w:rPr>
              <w:t>59</w:t>
            </w:r>
            <w:r w:rsidR="004D7CB8" w:rsidRPr="00FC6B39">
              <w:rPr>
                <w:rFonts w:ascii="Times New Roman" w:hAnsi="Times New Roman"/>
                <w:sz w:val="24"/>
                <w:szCs w:val="24"/>
              </w:rPr>
              <w:t xml:space="preserve"> (время московское)</w:t>
            </w:r>
          </w:p>
        </w:tc>
      </w:tr>
      <w:tr w:rsidR="0026386B" w:rsidRPr="00491170" w:rsidTr="005969F3">
        <w:trPr>
          <w:jc w:val="center"/>
        </w:trPr>
        <w:tc>
          <w:tcPr>
            <w:tcW w:w="3544" w:type="dxa"/>
            <w:shd w:val="clear" w:color="auto" w:fill="auto"/>
          </w:tcPr>
          <w:p w:rsidR="0026386B" w:rsidRPr="00491170" w:rsidRDefault="0026386B" w:rsidP="00491170">
            <w:pPr>
              <w:spacing w:after="0" w:line="240" w:lineRule="auto"/>
              <w:rPr>
                <w:rFonts w:ascii="Times New Roman" w:hAnsi="Times New Roman"/>
                <w:sz w:val="24"/>
                <w:szCs w:val="24"/>
              </w:rPr>
            </w:pPr>
            <w:r w:rsidRPr="00491170">
              <w:rPr>
                <w:rFonts w:ascii="Times New Roman" w:hAnsi="Times New Roman"/>
                <w:sz w:val="24"/>
                <w:szCs w:val="24"/>
              </w:rPr>
              <w:t>Место подачи заявок</w:t>
            </w:r>
          </w:p>
        </w:tc>
        <w:tc>
          <w:tcPr>
            <w:tcW w:w="6760" w:type="dxa"/>
            <w:shd w:val="clear" w:color="auto" w:fill="auto"/>
          </w:tcPr>
          <w:p w:rsidR="0026386B" w:rsidRPr="00491170" w:rsidRDefault="0026386B" w:rsidP="00983487">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указанной в настоящем извещении о проведении запроса котировок в электронной форме</w:t>
            </w:r>
          </w:p>
        </w:tc>
      </w:tr>
      <w:tr w:rsidR="00ED677E" w:rsidRPr="00491170" w:rsidTr="005969F3">
        <w:trPr>
          <w:jc w:val="center"/>
        </w:trPr>
        <w:tc>
          <w:tcPr>
            <w:tcW w:w="3544" w:type="dxa"/>
            <w:shd w:val="clear" w:color="auto" w:fill="auto"/>
          </w:tcPr>
          <w:p w:rsidR="00ED677E" w:rsidRPr="00491170" w:rsidRDefault="00F350F4" w:rsidP="008A6DE6">
            <w:pPr>
              <w:spacing w:after="0" w:line="240" w:lineRule="auto"/>
              <w:rPr>
                <w:rFonts w:ascii="Times New Roman" w:hAnsi="Times New Roman"/>
                <w:sz w:val="24"/>
                <w:szCs w:val="24"/>
              </w:rPr>
            </w:pPr>
            <w:r w:rsidRPr="00F350F4">
              <w:rPr>
                <w:rFonts w:ascii="Times New Roman" w:hAnsi="Times New Roman"/>
                <w:sz w:val="24"/>
                <w:szCs w:val="24"/>
              </w:rPr>
              <w:t>Адрес электронной площадки в информационно-коммуникационной сети интернет</w:t>
            </w:r>
          </w:p>
        </w:tc>
        <w:tc>
          <w:tcPr>
            <w:tcW w:w="6760" w:type="dxa"/>
            <w:shd w:val="clear" w:color="auto" w:fill="auto"/>
          </w:tcPr>
          <w:p w:rsidR="00ED677E" w:rsidRPr="00491170" w:rsidRDefault="00ED677E" w:rsidP="008A6DE6">
            <w:pPr>
              <w:spacing w:after="0" w:line="240" w:lineRule="auto"/>
              <w:rPr>
                <w:rFonts w:ascii="Times New Roman" w:hAnsi="Times New Roman"/>
                <w:sz w:val="24"/>
                <w:szCs w:val="24"/>
                <w:lang w:val="en-US"/>
              </w:rPr>
            </w:pPr>
            <w:r w:rsidRPr="00491170">
              <w:rPr>
                <w:rFonts w:ascii="Times New Roman" w:hAnsi="Times New Roman"/>
                <w:sz w:val="24"/>
                <w:szCs w:val="24"/>
                <w:lang w:val="en-US"/>
              </w:rPr>
              <w:t>http://www.rts -tender.ru/</w:t>
            </w:r>
          </w:p>
          <w:p w:rsidR="00ED677E" w:rsidRPr="00491170" w:rsidRDefault="00ED677E" w:rsidP="008A6DE6">
            <w:pPr>
              <w:spacing w:after="0" w:line="240" w:lineRule="auto"/>
              <w:rPr>
                <w:rFonts w:ascii="Times New Roman" w:hAnsi="Times New Roman"/>
                <w:sz w:val="24"/>
                <w:szCs w:val="24"/>
              </w:rPr>
            </w:pPr>
            <w:r w:rsidRPr="00491170">
              <w:rPr>
                <w:rFonts w:ascii="Times New Roman" w:hAnsi="Times New Roman"/>
                <w:sz w:val="24"/>
                <w:szCs w:val="24"/>
              </w:rPr>
              <w:t>ООО «РТС-тендер»</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подачи котировочных заявок</w:t>
            </w:r>
          </w:p>
        </w:tc>
        <w:tc>
          <w:tcPr>
            <w:tcW w:w="6760" w:type="dxa"/>
            <w:shd w:val="clear" w:color="auto" w:fill="auto"/>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Подача заявок на участие в запросе котировок в электронной форме осуществляется посредством электронной площадки только лицами, зарегистрированными в ЕИС и аккредитованными на электронной площадке.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b/>
                <w:sz w:val="24"/>
                <w:szCs w:val="24"/>
              </w:rPr>
              <w:t>Заявка состоит из предложений участника запроса котировок в электронной форме о предлагаемых товаре, работе, услуге, а также о цене контракта</w:t>
            </w:r>
            <w:r w:rsidRPr="00491170">
              <w:rPr>
                <w:rFonts w:ascii="Times New Roman" w:hAnsi="Times New Roman"/>
                <w:sz w:val="24"/>
                <w:szCs w:val="24"/>
              </w:rPr>
              <w:t>. Участник направляет ее оператору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только одну заявку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подачи заявки с нарушением требований, предусмотренных частью 6 статьи 24.1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получения заявки после даты или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получения заявки от участника такого запроса с нарушением положений части 9 статьи 24.2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6) наличия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lastRenderedPageBreak/>
              <w:t>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части 6 статьи 82.3. Закона № 44-ФЗ,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Одновременно с возвратом заявки на участие в запросе котировок в электронной форме в соответствии с частью 6 статьи 82.3 Закона № 44-ФЗ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Федерального закона № 44-ФЗ, которые были нарушены.</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должна содержать следующие документы и информацию: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а) документы, предусмотренные нормативными правовыми актами, принятыми в соответствии со статьей 14 Закона № 44-ФЗ,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47A2A" w:rsidRPr="00447A2A" w:rsidRDefault="00447A2A" w:rsidP="00491170">
            <w:pPr>
              <w:spacing w:after="0" w:line="240" w:lineRule="auto"/>
              <w:jc w:val="both"/>
              <w:rPr>
                <w:rFonts w:ascii="Times New Roman" w:hAnsi="Times New Roman"/>
                <w:b/>
                <w:i/>
                <w:sz w:val="24"/>
                <w:szCs w:val="24"/>
              </w:rPr>
            </w:pPr>
            <w:r w:rsidRPr="00447A2A">
              <w:rPr>
                <w:rFonts w:ascii="Times New Roman" w:hAnsi="Times New Roman"/>
                <w:b/>
                <w:i/>
                <w:sz w:val="24"/>
                <w:szCs w:val="24"/>
              </w:rPr>
              <w:t>Подтверждением страны происхождения товаров, является указание (декларирование) участником закупки в заявке в соответствии с Федеральным законом наименования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(установлены).</w:t>
            </w:r>
          </w:p>
          <w:p w:rsidR="00ED677E" w:rsidRPr="00983487" w:rsidRDefault="00ED677E" w:rsidP="00491170">
            <w:pPr>
              <w:spacing w:after="0" w:line="240" w:lineRule="auto"/>
              <w:jc w:val="both"/>
              <w:rPr>
                <w:rFonts w:ascii="Times New Roman" w:hAnsi="Times New Roman"/>
                <w:b/>
                <w:i/>
                <w:sz w:val="24"/>
                <w:szCs w:val="24"/>
              </w:rPr>
            </w:pPr>
            <w:r w:rsidRPr="00983487">
              <w:rPr>
                <w:rFonts w:ascii="Times New Roman" w:hAnsi="Times New Roman"/>
                <w:b/>
                <w:i/>
                <w:sz w:val="24"/>
                <w:szCs w:val="24"/>
              </w:rPr>
              <w:t>Форма представления конкретных показателей товара приведена в Приложении 3 - Форма Заявки (приложена отдельным файлом)</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w:t>
            </w:r>
            <w:r w:rsidRPr="00491170">
              <w:rPr>
                <w:rFonts w:ascii="Times New Roman" w:hAnsi="Times New Roman"/>
                <w:sz w:val="24"/>
                <w:szCs w:val="24"/>
              </w:rPr>
              <w:lastRenderedPageBreak/>
              <w:t>проведении запроса котировок в электронной форме;</w:t>
            </w:r>
          </w:p>
          <w:p w:rsidR="00ED677E" w:rsidRPr="00447A2A" w:rsidRDefault="00ED677E" w:rsidP="00491170">
            <w:pPr>
              <w:spacing w:after="0" w:line="240" w:lineRule="auto"/>
              <w:jc w:val="both"/>
              <w:rPr>
                <w:rFonts w:ascii="Times New Roman" w:hAnsi="Times New Roman"/>
                <w:b/>
                <w:sz w:val="24"/>
                <w:szCs w:val="24"/>
              </w:rPr>
            </w:pPr>
            <w:r w:rsidRPr="00447A2A">
              <w:rPr>
                <w:rFonts w:ascii="Times New Roman" w:hAnsi="Times New Roman"/>
                <w:b/>
                <w:sz w:val="24"/>
                <w:szCs w:val="24"/>
              </w:rPr>
              <w:t>в) указание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а) о соответствии участника запроса котировок в электронной форме требованиям, установленным пунктами 1, 3–9 части 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о праве участника запроса котировок в электронной форме на получение преимуществ в соответствии со статьями 28 и 29 Закона № 44-ФЗ в случае, если участник запроса котировок в электронной форме заявил о получении указанных преимуществ</w:t>
            </w:r>
            <w:r w:rsidR="000E69C5">
              <w:rPr>
                <w:rFonts w:ascii="Times New Roman" w:hAnsi="Times New Roman"/>
                <w:sz w:val="24"/>
                <w:szCs w:val="24"/>
              </w:rPr>
              <w:t xml:space="preserve"> </w:t>
            </w:r>
            <w:r w:rsidR="000E69C5" w:rsidRPr="000E69C5">
              <w:rPr>
                <w:rFonts w:ascii="Times New Roman" w:hAnsi="Times New Roman"/>
                <w:sz w:val="24"/>
                <w:szCs w:val="24"/>
              </w:rPr>
              <w:t>(при необходимости).</w:t>
            </w:r>
            <w:r w:rsidR="000E69C5">
              <w:rPr>
                <w:rFonts w:ascii="Times New Roman" w:hAnsi="Times New Roman"/>
                <w:sz w:val="24"/>
                <w:szCs w:val="24"/>
              </w:rPr>
              <w:t xml:space="preserve"> </w:t>
            </w:r>
            <w:r w:rsidRPr="00491170">
              <w:rPr>
                <w:rFonts w:ascii="Times New Roman" w:hAnsi="Times New Roman"/>
                <w:sz w:val="24"/>
                <w:szCs w:val="24"/>
              </w:rPr>
              <w:t>;</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(при необходимости).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статьей 82.3 Федерального закона № 44-ФЗ информации и электронных документов,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от заключения контракта, должен подписать контракт</w:t>
            </w:r>
          </w:p>
        </w:tc>
        <w:tc>
          <w:tcPr>
            <w:tcW w:w="6760" w:type="dxa"/>
            <w:shd w:val="clear" w:color="auto" w:fill="auto"/>
          </w:tcPr>
          <w:p w:rsidR="006D6EEC" w:rsidRDefault="006D6EEC" w:rsidP="006D6EEC">
            <w:pPr>
              <w:spacing w:after="0" w:line="240" w:lineRule="auto"/>
              <w:jc w:val="both"/>
              <w:rPr>
                <w:rFonts w:ascii="Times New Roman" w:hAnsi="Times New Roman"/>
                <w:sz w:val="24"/>
                <w:szCs w:val="24"/>
              </w:rPr>
            </w:pPr>
            <w:r w:rsidRPr="00E47DFB">
              <w:rPr>
                <w:rFonts w:ascii="Times New Roman" w:hAnsi="Times New Roman"/>
                <w:sz w:val="24"/>
                <w:szCs w:val="24"/>
              </w:rPr>
              <w:t>В соответствии с частью 9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 контракт может быть заключен не ранее чем через семь дней с даты размещения в единой информационной системе протокола рассмотрения заявок на участие в запросе котировок в электронной форме</w:t>
            </w:r>
            <w:r>
              <w:rPr>
                <w:rFonts w:ascii="Times New Roman" w:hAnsi="Times New Roman"/>
                <w:sz w:val="24"/>
                <w:szCs w:val="24"/>
              </w:rPr>
              <w:t>.</w:t>
            </w:r>
          </w:p>
          <w:p w:rsidR="006D6EEC" w:rsidRPr="00491170" w:rsidRDefault="006D6EEC" w:rsidP="006D6EEC">
            <w:pPr>
              <w:spacing w:after="0" w:line="240" w:lineRule="auto"/>
              <w:jc w:val="both"/>
              <w:rPr>
                <w:rFonts w:ascii="Times New Roman" w:hAnsi="Times New Roman"/>
                <w:sz w:val="24"/>
                <w:szCs w:val="24"/>
              </w:rPr>
            </w:pPr>
            <w:r w:rsidRPr="00491170">
              <w:rPr>
                <w:rFonts w:ascii="Times New Roman" w:hAnsi="Times New Roman"/>
                <w:sz w:val="24"/>
                <w:szCs w:val="24"/>
              </w:rPr>
              <w:t xml:space="preserve">Победитель запроса котировок в электронной форме или иной участник, с которым заключается контракт при уклонении победителя от его подписания, обязан подписать проект контракта в течение </w:t>
            </w:r>
            <w:r w:rsidRPr="00983487">
              <w:rPr>
                <w:rFonts w:ascii="Times New Roman" w:hAnsi="Times New Roman"/>
                <w:b/>
                <w:sz w:val="24"/>
                <w:szCs w:val="24"/>
              </w:rPr>
              <w:t>пяти дней</w:t>
            </w:r>
            <w:r w:rsidRPr="00491170">
              <w:rPr>
                <w:rFonts w:ascii="Times New Roman" w:hAnsi="Times New Roman"/>
                <w:sz w:val="24"/>
                <w:szCs w:val="24"/>
              </w:rPr>
              <w:t xml:space="preserve"> с момента размещения заказчиком в единой информационной системе проекта контракта.</w:t>
            </w:r>
          </w:p>
          <w:p w:rsidR="00ED677E" w:rsidRPr="00491170" w:rsidRDefault="00BC55AE" w:rsidP="00D41414">
            <w:pPr>
              <w:spacing w:after="0" w:line="240" w:lineRule="auto"/>
              <w:jc w:val="both"/>
              <w:rPr>
                <w:rFonts w:ascii="Times New Roman" w:hAnsi="Times New Roman"/>
                <w:sz w:val="24"/>
                <w:szCs w:val="24"/>
              </w:rPr>
            </w:pPr>
            <w:r w:rsidRPr="00BC55AE">
              <w:rPr>
                <w:rFonts w:ascii="Times New Roman" w:hAnsi="Times New Roman"/>
                <w:sz w:val="24"/>
                <w:szCs w:val="24"/>
              </w:rPr>
              <w:lastRenderedPageBreak/>
              <w:t>Если победитель разместил на электронной площадке протокол разногласий, то он должен подписать и разместить проект контракта в течение трех рабочих дней с даты размещения заказчиком в единой информационной системе (на электронной площадке) доработанного проекта контракта или первоначального проекта и документа с информацией о причинах отказа учесть полностью или частично замечания по протоколу разногласий. Иной участник запроса котировок в электронной форме, с которым заключается контракт при уклонении победителя от его подписания, не обязан подписывать контракт. Такое лицо вправе отказаться от заключения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Условия признания победителя запроса котировок в электронной форме уклонившимся от заключения контракта</w:t>
            </w:r>
          </w:p>
        </w:tc>
        <w:tc>
          <w:tcPr>
            <w:tcW w:w="6760" w:type="dxa"/>
            <w:shd w:val="clear" w:color="auto" w:fill="auto"/>
          </w:tcPr>
          <w:p w:rsidR="006D6EEC" w:rsidRDefault="006D6EEC" w:rsidP="00491170">
            <w:pPr>
              <w:spacing w:after="0" w:line="240" w:lineRule="auto"/>
              <w:jc w:val="both"/>
              <w:rPr>
                <w:rFonts w:ascii="Times New Roman" w:hAnsi="Times New Roman"/>
                <w:sz w:val="24"/>
                <w:szCs w:val="24"/>
                <w:shd w:val="clear" w:color="auto" w:fill="FFFFFF"/>
              </w:rPr>
            </w:pPr>
            <w:r w:rsidRPr="006D6EEC">
              <w:rPr>
                <w:rFonts w:ascii="Times New Roman" w:hAnsi="Times New Roman"/>
                <w:sz w:val="24"/>
                <w:szCs w:val="24"/>
                <w:shd w:val="clear" w:color="auto" w:fill="FFFFFF"/>
              </w:rPr>
              <w:t>В соответствии с частью 13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Победитель запроса котировок в электронной форме (за исключением победителя, предусмотренного </w:t>
            </w:r>
            <w:r w:rsidRPr="00491170">
              <w:rPr>
                <w:rFonts w:ascii="Times New Roman" w:hAnsi="Times New Roman"/>
                <w:sz w:val="24"/>
                <w:szCs w:val="24"/>
              </w:rPr>
              <w:t>ч. 14 ст. 83.2 Закона № 44-ФЗ</w:t>
            </w:r>
            <w:r w:rsidRPr="00491170">
              <w:rPr>
                <w:rFonts w:ascii="Times New Roman" w:hAnsi="Times New Roman"/>
                <w:sz w:val="24"/>
                <w:szCs w:val="24"/>
                <w:shd w:val="clear" w:color="auto" w:fill="FFFFFF"/>
              </w:rPr>
              <w:t>) признается заказчиком уклонившимся от заключения контракта, в случае если в сроки, предусмотренные статьей 83.2 Федерального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или не предоставил обеспечение исполнения контракта, если такое обеспечение предусмотрено настоящим извещением.</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В случае если победитель запроса котировок в электронной форме признан уклонившимся от заключения контракта, заказчик вправе заключить контракт с участником такого запроса котировок в электронной форме, заявке которого присвоен второй номер. Этот участник признается победителем такого запроса котировок в электронной форме, и в проект контракта, прилагаемый к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такого запроса котировок в электронной форме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shd w:val="clear" w:color="auto" w:fill="FFFFFF"/>
              </w:rPr>
              <w:t>Участник запроса котировок в электронной форме, признанный победителем такого запроса котировок в электронной форме в соответствии с </w:t>
            </w:r>
            <w:r w:rsidRPr="00491170">
              <w:rPr>
                <w:rFonts w:ascii="Times New Roman" w:hAnsi="Times New Roman"/>
                <w:sz w:val="24"/>
                <w:szCs w:val="24"/>
              </w:rPr>
              <w:t>частью 14 статьи 83.2 Закона № 44-ФЗ</w:t>
            </w:r>
            <w:r w:rsidRPr="00491170">
              <w:rPr>
                <w:rFonts w:ascii="Times New Roman" w:hAnsi="Times New Roman"/>
                <w:sz w:val="24"/>
                <w:szCs w:val="24"/>
                <w:shd w:val="clear" w:color="auto" w:fill="FFFFFF"/>
              </w:rPr>
              <w:t>, вправе подписать проект контракта или разместить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протокол разногласий в порядке и сроки, которые предусмотрены статьей 83.2 Закона № 44-ФЗ, либо отказаться от заключения контракта. Этот победитель считается уклонившимся от заключения контракта в случае неисполнения требований </w:t>
            </w:r>
            <w:r w:rsidRPr="00491170">
              <w:rPr>
                <w:rFonts w:ascii="Times New Roman" w:hAnsi="Times New Roman"/>
                <w:sz w:val="24"/>
                <w:szCs w:val="24"/>
              </w:rPr>
              <w:t>части 6 статьи 83.2 Закона № 44-ФЗ</w:t>
            </w:r>
            <w:r w:rsidRPr="00491170">
              <w:rPr>
                <w:rFonts w:ascii="Times New Roman" w:hAnsi="Times New Roman"/>
                <w:sz w:val="24"/>
                <w:szCs w:val="24"/>
                <w:shd w:val="clear" w:color="auto" w:fill="FFFFFF"/>
              </w:rPr>
              <w:t>. Такой победитель признается отказавшимся от заключения контракта в случае, если в срок, предусмотренный </w:t>
            </w:r>
            <w:r w:rsidRPr="00491170">
              <w:rPr>
                <w:rFonts w:ascii="Times New Roman" w:hAnsi="Times New Roman"/>
                <w:sz w:val="24"/>
                <w:szCs w:val="24"/>
              </w:rPr>
              <w:t>частью 3 статьи 83.2 Закона № 44-ФЗ</w:t>
            </w:r>
            <w:r w:rsidRPr="00491170">
              <w:rPr>
                <w:rFonts w:ascii="Times New Roman" w:hAnsi="Times New Roman"/>
                <w:sz w:val="24"/>
                <w:szCs w:val="24"/>
                <w:shd w:val="clear" w:color="auto" w:fill="FFFFFF"/>
              </w:rPr>
              <w:t>, он не подписал проект контракта или не направил протокол разногласий</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lastRenderedPageBreak/>
              <w:t>Сведения о НМЦК</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Начальная (максимальная) цена контракта, руб.</w:t>
            </w:r>
          </w:p>
        </w:tc>
        <w:tc>
          <w:tcPr>
            <w:tcW w:w="6760" w:type="dxa"/>
            <w:shd w:val="clear" w:color="auto" w:fill="auto"/>
          </w:tcPr>
          <w:p w:rsidR="00ED677E" w:rsidRPr="008C5C2F" w:rsidRDefault="00B30AF0" w:rsidP="00CF0118">
            <w:pPr>
              <w:spacing w:after="0" w:line="240" w:lineRule="auto"/>
              <w:jc w:val="both"/>
              <w:rPr>
                <w:rFonts w:ascii="Times New Roman" w:hAnsi="Times New Roman"/>
                <w:b/>
                <w:sz w:val="24"/>
                <w:szCs w:val="24"/>
                <w:highlight w:val="yellow"/>
              </w:rPr>
            </w:pPr>
            <w:r w:rsidRPr="00B30AF0">
              <w:rPr>
                <w:rFonts w:ascii="Times New Roman" w:hAnsi="Times New Roman"/>
                <w:b/>
                <w:sz w:val="24"/>
                <w:szCs w:val="24"/>
              </w:rPr>
              <w:t>32 781 (</w:t>
            </w:r>
            <w:r>
              <w:rPr>
                <w:rFonts w:ascii="Times New Roman" w:hAnsi="Times New Roman"/>
                <w:b/>
                <w:sz w:val="24"/>
                <w:szCs w:val="24"/>
              </w:rPr>
              <w:t>Т</w:t>
            </w:r>
            <w:r w:rsidRPr="00B30AF0">
              <w:rPr>
                <w:rFonts w:ascii="Times New Roman" w:hAnsi="Times New Roman"/>
                <w:b/>
                <w:sz w:val="24"/>
                <w:szCs w:val="24"/>
              </w:rPr>
              <w:t>ридцать две тысячи семьсот восемьдесят один) рубль 66 копеек, с учетом НДС 20%  - 5 463,61 рублей</w:t>
            </w:r>
            <w:r w:rsidR="000E69C5" w:rsidRPr="008C5C2F">
              <w:rPr>
                <w:rFonts w:ascii="Times New Roman" w:hAnsi="Times New Roman"/>
                <w:b/>
                <w:sz w:val="24"/>
                <w:szCs w:val="24"/>
              </w:rPr>
              <w:t>.</w:t>
            </w:r>
          </w:p>
          <w:p w:rsidR="00ED677E" w:rsidRPr="000E69C5" w:rsidRDefault="00ED677E" w:rsidP="00491170">
            <w:pPr>
              <w:spacing w:after="0" w:line="240" w:lineRule="auto"/>
              <w:jc w:val="both"/>
              <w:rPr>
                <w:rFonts w:ascii="Times New Roman" w:hAnsi="Times New Roman"/>
                <w:b/>
                <w:sz w:val="24"/>
                <w:szCs w:val="24"/>
                <w:highlight w:val="yellow"/>
              </w:rPr>
            </w:pPr>
            <w:r w:rsidRPr="000E69C5">
              <w:rPr>
                <w:rFonts w:ascii="Times New Roman" w:hAnsi="Times New Roman"/>
                <w:sz w:val="24"/>
                <w:szCs w:val="24"/>
              </w:rPr>
              <w:t xml:space="preserve">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w:t>
            </w:r>
            <w:r w:rsidRPr="008C5C2F">
              <w:rPr>
                <w:rFonts w:ascii="Times New Roman" w:hAnsi="Times New Roman"/>
                <w:sz w:val="24"/>
                <w:szCs w:val="24"/>
              </w:rPr>
              <w:t>исполнением контракта</w:t>
            </w:r>
            <w:r w:rsidRPr="008C5C2F">
              <w:rPr>
                <w:rFonts w:ascii="Times New Roman" w:hAnsi="Times New Roman"/>
                <w:b/>
                <w:sz w:val="24"/>
                <w:szCs w:val="24"/>
              </w:rPr>
              <w:t>.</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Обоснование начальной (максимальной) цены контракта</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Обоснование максимальной цены контракта осуществлено в соответствии с положениями ст. 22 Федерального закона №44-ФЗ методом сопоставимых рыночных цен и приведено в файле «Обоснование НМЦК» (приложено отдельным файлом)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аванса</w:t>
            </w:r>
          </w:p>
        </w:tc>
        <w:tc>
          <w:tcPr>
            <w:tcW w:w="6760" w:type="dxa"/>
            <w:shd w:val="clear" w:color="auto" w:fill="auto"/>
          </w:tcPr>
          <w:p w:rsidR="00ED677E" w:rsidRPr="00491170" w:rsidRDefault="00ED677E" w:rsidP="00491170">
            <w:pPr>
              <w:adjustRightInd w:val="0"/>
              <w:spacing w:after="0" w:line="240" w:lineRule="auto"/>
              <w:rPr>
                <w:rFonts w:ascii="Times New Roman" w:hAnsi="Times New Roman"/>
                <w:sz w:val="24"/>
                <w:szCs w:val="24"/>
              </w:rPr>
            </w:pPr>
            <w:r w:rsidRPr="00491170">
              <w:rPr>
                <w:rFonts w:ascii="Times New Roman" w:hAnsi="Times New Roman"/>
                <w:sz w:val="24"/>
                <w:szCs w:val="24"/>
              </w:rPr>
              <w:t>Выплата аванса не предусмотрена</w:t>
            </w:r>
          </w:p>
        </w:tc>
      </w:tr>
      <w:tr w:rsidR="00ED677E" w:rsidRPr="00491170" w:rsidTr="005969F3">
        <w:trPr>
          <w:trHeight w:val="1130"/>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Срок и условия оплаты поставленного товара, выполненной работы, оказанной услуги</w:t>
            </w:r>
          </w:p>
        </w:tc>
        <w:tc>
          <w:tcPr>
            <w:tcW w:w="6760" w:type="dxa"/>
            <w:shd w:val="clear" w:color="auto" w:fill="auto"/>
          </w:tcPr>
          <w:p w:rsidR="00ED677E" w:rsidRPr="00491170" w:rsidRDefault="00ED677E" w:rsidP="00BE27E0">
            <w:pPr>
              <w:spacing w:after="0" w:line="240" w:lineRule="auto"/>
              <w:rPr>
                <w:rFonts w:ascii="Times New Roman" w:hAnsi="Times New Roman"/>
                <w:sz w:val="24"/>
                <w:szCs w:val="24"/>
              </w:rPr>
            </w:pPr>
            <w:r w:rsidRPr="00491170">
              <w:rPr>
                <w:rFonts w:ascii="Times New Roman" w:hAnsi="Times New Roman"/>
                <w:sz w:val="24"/>
                <w:szCs w:val="24"/>
              </w:rPr>
              <w:t>Срок оплаты – в течение 15 (</w:t>
            </w:r>
            <w:r w:rsidR="00CF0118">
              <w:rPr>
                <w:rFonts w:ascii="Times New Roman" w:hAnsi="Times New Roman"/>
                <w:sz w:val="24"/>
                <w:szCs w:val="24"/>
              </w:rPr>
              <w:t>П</w:t>
            </w:r>
            <w:r w:rsidRPr="00491170">
              <w:rPr>
                <w:rFonts w:ascii="Times New Roman" w:hAnsi="Times New Roman"/>
                <w:sz w:val="24"/>
                <w:szCs w:val="24"/>
              </w:rPr>
              <w:t xml:space="preserve">ятнадцати) </w:t>
            </w:r>
            <w:r w:rsidR="005B3DD8">
              <w:rPr>
                <w:rFonts w:ascii="Times New Roman" w:hAnsi="Times New Roman"/>
                <w:sz w:val="24"/>
                <w:szCs w:val="24"/>
              </w:rPr>
              <w:t xml:space="preserve">рабочих </w:t>
            </w:r>
            <w:r w:rsidRPr="00491170">
              <w:rPr>
                <w:rFonts w:ascii="Times New Roman" w:hAnsi="Times New Roman"/>
                <w:sz w:val="24"/>
                <w:szCs w:val="24"/>
              </w:rPr>
              <w:t>дней с момента подписания Сторонами документов о приемке</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участниках</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Преимущества</w:t>
            </w:r>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Учреждениям и предприятиям уголовно-исполнительной системы</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установлены</w:t>
            </w:r>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Организациям инвалидов</w:t>
            </w:r>
          </w:p>
        </w:tc>
        <w:tc>
          <w:tcPr>
            <w:tcW w:w="6760" w:type="dxa"/>
            <w:shd w:val="clear" w:color="auto" w:fill="auto"/>
            <w:vAlign w:val="center"/>
          </w:tcPr>
          <w:p w:rsidR="00ED677E" w:rsidRPr="000E69C5" w:rsidRDefault="000E69C5" w:rsidP="00382BDF">
            <w:pPr>
              <w:pStyle w:val="ConsPlusNormal"/>
              <w:rPr>
                <w:rFonts w:ascii="Times New Roman" w:hAnsi="Times New Roman" w:cs="Times New Roman"/>
                <w:sz w:val="24"/>
                <w:szCs w:val="24"/>
              </w:rPr>
            </w:pPr>
            <w:r w:rsidRPr="000E69C5">
              <w:rPr>
                <w:rFonts w:ascii="Times New Roman" w:hAnsi="Times New Roman" w:cs="Times New Roman"/>
                <w:sz w:val="24"/>
                <w:szCs w:val="24"/>
              </w:rPr>
              <w:t>Не установлены</w:t>
            </w:r>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Участникам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6760" w:type="dxa"/>
            <w:shd w:val="clear" w:color="auto" w:fill="auto"/>
            <w:vAlign w:val="center"/>
          </w:tcPr>
          <w:p w:rsidR="00ED677E" w:rsidRPr="008C2A46" w:rsidRDefault="008C2A46" w:rsidP="00382BDF">
            <w:pPr>
              <w:pStyle w:val="ConsPlusNormal"/>
              <w:rPr>
                <w:rFonts w:ascii="Times New Roman" w:hAnsi="Times New Roman" w:cs="Times New Roman"/>
                <w:b/>
                <w:sz w:val="24"/>
                <w:szCs w:val="24"/>
              </w:rPr>
            </w:pPr>
            <w:r w:rsidRPr="008C2A46">
              <w:rPr>
                <w:rFonts w:ascii="Times New Roman" w:hAnsi="Times New Roman" w:cs="Times New Roman"/>
                <w:b/>
                <w:sz w:val="24"/>
                <w:szCs w:val="24"/>
              </w:rPr>
              <w:t>У</w:t>
            </w:r>
            <w:r w:rsidR="00ED677E" w:rsidRPr="008C2A46">
              <w:rPr>
                <w:rFonts w:ascii="Times New Roman" w:hAnsi="Times New Roman" w:cs="Times New Roman"/>
                <w:b/>
                <w:sz w:val="24"/>
                <w:szCs w:val="24"/>
              </w:rPr>
              <w:t>становлены</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b/>
                <w:sz w:val="24"/>
                <w:szCs w:val="24"/>
              </w:rPr>
              <w:t>Требования к участникам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Участниками могут быть только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Привлечение субподрядчиков, соисполнителей из числа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Единые требования к участникам закупки (в соответствии с ч. 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1. Соответствие </w:t>
            </w:r>
            <w:hyperlink r:id="rId8" w:history="1">
              <w:r w:rsidRPr="00491170">
                <w:rPr>
                  <w:rFonts w:ascii="Times New Roman" w:hAnsi="Times New Roman"/>
                  <w:sz w:val="24"/>
                  <w:szCs w:val="24"/>
                </w:rPr>
                <w:t>требованиям</w:t>
              </w:r>
            </w:hyperlink>
            <w:r w:rsidRPr="00491170">
              <w:rPr>
                <w:rFonts w:ascii="Times New Roman" w:hAnsi="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установлено.</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4. Отсутствие у участника закупки недоимки по налогам, </w:t>
            </w:r>
            <w:r w:rsidRPr="00491170">
              <w:rPr>
                <w:rFonts w:ascii="Times New Roman" w:hAnsi="Times New Roman"/>
                <w:sz w:val="24"/>
                <w:szCs w:val="24"/>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Участником в установленном порядке подано заявление  об обжаловании указанных недоимок, задолженностей и решение по такому заявлению не принято на дату рассмотрения заявки на участие в запросе котировок в электронной форме.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491170">
              <w:rPr>
                <w:rFonts w:ascii="Times New Roman" w:hAnsi="Times New Roman"/>
                <w:sz w:val="24"/>
                <w:szCs w:val="24"/>
              </w:rPr>
              <w:lastRenderedPageBreak/>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9. Участник закупки не является офшорной компанией.</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10. У участника закупки отсутствуют ограничения для участия в закупках, установленных законодательством Российской Федерации</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lastRenderedPageBreak/>
              <w:t>Требования к участникам закупок в соответствии с ч. 1.1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В реестре недобросовестных поставщиков (подрядчиков, исполнителей) отсутствует  информация об участнике закупки,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Ограничения и запреты</w:t>
            </w:r>
          </w:p>
        </w:tc>
        <w:tc>
          <w:tcPr>
            <w:tcW w:w="6760" w:type="dxa"/>
            <w:shd w:val="clear" w:color="auto" w:fill="auto"/>
          </w:tcPr>
          <w:p w:rsidR="006D6EEC" w:rsidRPr="006D6EEC" w:rsidRDefault="006D6EEC" w:rsidP="006D6EEC">
            <w:pPr>
              <w:spacing w:after="0" w:line="240" w:lineRule="auto"/>
              <w:rPr>
                <w:rFonts w:ascii="Times New Roman" w:hAnsi="Times New Roman"/>
                <w:sz w:val="24"/>
                <w:szCs w:val="24"/>
              </w:rPr>
            </w:pPr>
            <w:r w:rsidRPr="006D6EEC">
              <w:rPr>
                <w:rFonts w:ascii="Times New Roman" w:hAnsi="Times New Roman"/>
                <w:sz w:val="24"/>
                <w:szCs w:val="24"/>
              </w:rPr>
              <w:t>Устанавливаются условия допуска на допуск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в соответствии с ч.4 ст.14 Федерального Закона № 44-ФЗ:</w:t>
            </w:r>
          </w:p>
          <w:p w:rsidR="00ED677E" w:rsidRPr="00491170" w:rsidRDefault="006D6EEC" w:rsidP="00B30AF0">
            <w:pPr>
              <w:spacing w:after="0" w:line="240" w:lineRule="auto"/>
              <w:jc w:val="both"/>
              <w:rPr>
                <w:rFonts w:ascii="Times New Roman" w:hAnsi="Times New Roman"/>
                <w:sz w:val="24"/>
                <w:szCs w:val="24"/>
              </w:rPr>
            </w:pPr>
            <w:r w:rsidRPr="006D6EEC">
              <w:rPr>
                <w:rFonts w:ascii="Times New Roman" w:hAnsi="Times New Roman"/>
                <w:sz w:val="24"/>
                <w:szCs w:val="24"/>
              </w:rPr>
              <w:t xml:space="preserve">- Допуск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Pr>
                <w:rFonts w:ascii="Times New Roman" w:hAnsi="Times New Roman"/>
                <w:sz w:val="24"/>
                <w:szCs w:val="24"/>
              </w:rPr>
              <w:t>нужд»</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color w:val="000000"/>
                <w:sz w:val="24"/>
                <w:szCs w:val="24"/>
              </w:rPr>
              <w:t>Банковское или казначейское сопровождение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требуется</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условиях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Место поставки товара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город Москва, улица Профсоюзная, дом 65</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Сроки поставки товара </w:t>
            </w:r>
          </w:p>
        </w:tc>
        <w:tc>
          <w:tcPr>
            <w:tcW w:w="6760" w:type="dxa"/>
            <w:shd w:val="clear" w:color="auto" w:fill="auto"/>
          </w:tcPr>
          <w:p w:rsidR="00ED677E" w:rsidRPr="00491170" w:rsidRDefault="00ED677E" w:rsidP="00C67B5A">
            <w:pPr>
              <w:spacing w:after="0" w:line="240" w:lineRule="auto"/>
              <w:jc w:val="both"/>
              <w:rPr>
                <w:rFonts w:ascii="Times New Roman" w:hAnsi="Times New Roman"/>
                <w:sz w:val="24"/>
                <w:szCs w:val="24"/>
              </w:rPr>
            </w:pPr>
            <w:r w:rsidRPr="00491170">
              <w:rPr>
                <w:rFonts w:ascii="Times New Roman" w:hAnsi="Times New Roman"/>
                <w:sz w:val="24"/>
                <w:szCs w:val="24"/>
              </w:rPr>
              <w:t>В течение 14 (четырнадцати) календарных дней с даты заключения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8-25 статьи 95 Закона № 44-ФЗ</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отдельных видов обязательств, при условии, если это было предусмотрено контрактом.</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настоящем извещении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w:t>
            </w:r>
            <w:r w:rsidRPr="00491170">
              <w:rPr>
                <w:rFonts w:ascii="Times New Roman" w:hAnsi="Times New Roman"/>
                <w:sz w:val="24"/>
                <w:szCs w:val="24"/>
              </w:rPr>
              <w:lastRenderedPageBreak/>
              <w:t>исполнителя).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lastRenderedPageBreak/>
              <w:t>Сведения об обеспечении исполнения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исполнения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lang w:val="en-US"/>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исполнения контракта</w:t>
            </w:r>
          </w:p>
        </w:tc>
        <w:tc>
          <w:tcPr>
            <w:tcW w:w="6760" w:type="dxa"/>
            <w:shd w:val="clear" w:color="auto" w:fill="auto"/>
          </w:tcPr>
          <w:p w:rsidR="00ED677E" w:rsidRPr="00491170" w:rsidRDefault="00ED677E" w:rsidP="00491170">
            <w:pPr>
              <w:autoSpaceDE w:val="0"/>
              <w:autoSpaceDN w:val="0"/>
              <w:adjustRightInd w:val="0"/>
              <w:spacing w:after="0" w:line="240" w:lineRule="auto"/>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исполнения контракта</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lang w:eastAsia="en-US"/>
              </w:rPr>
            </w:pPr>
            <w:r w:rsidRPr="00491170">
              <w:rPr>
                <w:rFonts w:ascii="Times New Roman" w:hAnsi="Times New Roman"/>
                <w:b/>
                <w:sz w:val="24"/>
                <w:szCs w:val="24"/>
              </w:rPr>
              <w:t>Сведения об обеспечении гарантийных обязательств</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гарантийных обязательств</w:t>
            </w:r>
          </w:p>
        </w:tc>
        <w:tc>
          <w:tcPr>
            <w:tcW w:w="6760" w:type="dxa"/>
            <w:shd w:val="clear" w:color="auto" w:fill="auto"/>
          </w:tcPr>
          <w:p w:rsidR="00ED677E" w:rsidRPr="00491170" w:rsidRDefault="00ED677E" w:rsidP="00491170">
            <w:pPr>
              <w:pStyle w:val="ConsPlusNormal"/>
              <w:jc w:val="both"/>
              <w:rPr>
                <w:rFonts w:ascii="Times New Roman" w:hAnsi="Times New Roman" w:cs="Times New Roman"/>
                <w:sz w:val="24"/>
                <w:szCs w:val="24"/>
              </w:rPr>
            </w:pPr>
            <w:r w:rsidRPr="00491170">
              <w:rPr>
                <w:rFonts w:ascii="Times New Roman" w:hAnsi="Times New Roman" w:cs="Times New Roman"/>
                <w:sz w:val="24"/>
                <w:szCs w:val="24"/>
              </w:rPr>
              <w:t xml:space="preserve">Не установлено </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гарантийных обязательств</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гарантийных обязательств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Перечень прикрепленных документов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1 - Обоснование НМЦК</w:t>
            </w:r>
          </w:p>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2 - Проект контракта</w:t>
            </w:r>
          </w:p>
          <w:p w:rsidR="00ED677E" w:rsidRPr="00491170" w:rsidRDefault="00ED677E" w:rsidP="00491170">
            <w:pPr>
              <w:pStyle w:val="ConsPlusNormal"/>
              <w:jc w:val="both"/>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3 – Форма Заявки</w:t>
            </w:r>
          </w:p>
        </w:tc>
      </w:tr>
    </w:tbl>
    <w:p w:rsidR="00E25887" w:rsidRPr="00137E0E" w:rsidRDefault="00E25887" w:rsidP="00382BDF">
      <w:pPr>
        <w:spacing w:after="0" w:line="240" w:lineRule="auto"/>
        <w:rPr>
          <w:rFonts w:ascii="Times New Roman" w:hAnsi="Times New Roman"/>
          <w:sz w:val="24"/>
          <w:szCs w:val="24"/>
        </w:rPr>
      </w:pPr>
    </w:p>
    <w:p w:rsidR="00426370" w:rsidRDefault="00426370" w:rsidP="00382BDF">
      <w:pPr>
        <w:spacing w:after="0" w:line="240" w:lineRule="auto"/>
        <w:rPr>
          <w:rFonts w:ascii="Times New Roman" w:hAnsi="Times New Roman"/>
          <w:sz w:val="24"/>
          <w:szCs w:val="24"/>
        </w:rPr>
      </w:pPr>
    </w:p>
    <w:p w:rsidR="00245E3A" w:rsidRPr="00137E0E" w:rsidRDefault="00245E3A" w:rsidP="00382BDF">
      <w:pPr>
        <w:spacing w:after="0" w:line="240" w:lineRule="auto"/>
        <w:rPr>
          <w:rFonts w:ascii="Times New Roman" w:hAnsi="Times New Roman"/>
          <w:sz w:val="24"/>
          <w:szCs w:val="24"/>
        </w:rPr>
      </w:pPr>
    </w:p>
    <w:p w:rsidR="00382BDF" w:rsidRPr="00137E0E" w:rsidRDefault="00426370" w:rsidP="005969F3">
      <w:pPr>
        <w:spacing w:after="0" w:line="240" w:lineRule="auto"/>
        <w:rPr>
          <w:b/>
          <w:sz w:val="24"/>
          <w:szCs w:val="24"/>
        </w:rPr>
      </w:pPr>
      <w:r w:rsidRPr="00137E0E">
        <w:rPr>
          <w:rFonts w:ascii="Times New Roman" w:hAnsi="Times New Roman"/>
          <w:b/>
          <w:sz w:val="24"/>
          <w:szCs w:val="24"/>
        </w:rPr>
        <w:t>Руководитель контрактного отдела</w:t>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t>Д.А. Тимохин</w:t>
      </w:r>
    </w:p>
    <w:sectPr w:rsidR="00382BDF" w:rsidRPr="00137E0E" w:rsidSect="005969F3">
      <w:pgSz w:w="11906" w:h="16838"/>
      <w:pgMar w:top="567" w:right="851" w:bottom="567" w:left="851"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2F9" w:rsidRDefault="003152F9" w:rsidP="007D3E14">
      <w:pPr>
        <w:spacing w:after="0" w:line="240" w:lineRule="auto"/>
      </w:pPr>
      <w:r>
        <w:separator/>
      </w:r>
    </w:p>
  </w:endnote>
  <w:endnote w:type="continuationSeparator" w:id="0">
    <w:p w:rsidR="003152F9" w:rsidRDefault="003152F9" w:rsidP="007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2F9" w:rsidRDefault="003152F9" w:rsidP="007D3E14">
      <w:pPr>
        <w:spacing w:after="0" w:line="240" w:lineRule="auto"/>
      </w:pPr>
      <w:r>
        <w:separator/>
      </w:r>
    </w:p>
  </w:footnote>
  <w:footnote w:type="continuationSeparator" w:id="0">
    <w:p w:rsidR="003152F9" w:rsidRDefault="003152F9" w:rsidP="007D3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A65C1"/>
    <w:multiLevelType w:val="hybridMultilevel"/>
    <w:tmpl w:val="C9C2C74C"/>
    <w:lvl w:ilvl="0" w:tplc="4BB037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C5"/>
    <w:rsid w:val="000168ED"/>
    <w:rsid w:val="00042A91"/>
    <w:rsid w:val="00045EC5"/>
    <w:rsid w:val="00052CA0"/>
    <w:rsid w:val="00076FC6"/>
    <w:rsid w:val="000819D1"/>
    <w:rsid w:val="0008353F"/>
    <w:rsid w:val="000B09DA"/>
    <w:rsid w:val="000B238E"/>
    <w:rsid w:val="000B45F4"/>
    <w:rsid w:val="000D13B7"/>
    <w:rsid w:val="000E69C5"/>
    <w:rsid w:val="000E6DD5"/>
    <w:rsid w:val="000E74D9"/>
    <w:rsid w:val="00115A09"/>
    <w:rsid w:val="00137E0E"/>
    <w:rsid w:val="001713A5"/>
    <w:rsid w:val="001F1BF2"/>
    <w:rsid w:val="00204417"/>
    <w:rsid w:val="00206075"/>
    <w:rsid w:val="0022079E"/>
    <w:rsid w:val="00234923"/>
    <w:rsid w:val="00236AC0"/>
    <w:rsid w:val="00236EF8"/>
    <w:rsid w:val="00245E3A"/>
    <w:rsid w:val="0026386B"/>
    <w:rsid w:val="002B050F"/>
    <w:rsid w:val="002F53DD"/>
    <w:rsid w:val="0031156C"/>
    <w:rsid w:val="00312EC3"/>
    <w:rsid w:val="003152F9"/>
    <w:rsid w:val="00317EC3"/>
    <w:rsid w:val="00322452"/>
    <w:rsid w:val="00332877"/>
    <w:rsid w:val="00382BDF"/>
    <w:rsid w:val="00385460"/>
    <w:rsid w:val="00387B46"/>
    <w:rsid w:val="00397039"/>
    <w:rsid w:val="00414CC6"/>
    <w:rsid w:val="00416745"/>
    <w:rsid w:val="00426370"/>
    <w:rsid w:val="00440DCF"/>
    <w:rsid w:val="00447A2A"/>
    <w:rsid w:val="00463091"/>
    <w:rsid w:val="00465817"/>
    <w:rsid w:val="0046587F"/>
    <w:rsid w:val="00491170"/>
    <w:rsid w:val="004D5012"/>
    <w:rsid w:val="004D7CB8"/>
    <w:rsid w:val="004E5257"/>
    <w:rsid w:val="004F05F3"/>
    <w:rsid w:val="005056B9"/>
    <w:rsid w:val="005969F3"/>
    <w:rsid w:val="00597C6F"/>
    <w:rsid w:val="005B3DD8"/>
    <w:rsid w:val="005C01B3"/>
    <w:rsid w:val="005E26E5"/>
    <w:rsid w:val="006179E1"/>
    <w:rsid w:val="00625B97"/>
    <w:rsid w:val="00644C59"/>
    <w:rsid w:val="00651EAB"/>
    <w:rsid w:val="00653164"/>
    <w:rsid w:val="006674D0"/>
    <w:rsid w:val="006744BC"/>
    <w:rsid w:val="006B357B"/>
    <w:rsid w:val="006B6232"/>
    <w:rsid w:val="006C48DD"/>
    <w:rsid w:val="006D0FDB"/>
    <w:rsid w:val="006D6C1D"/>
    <w:rsid w:val="006D6EEC"/>
    <w:rsid w:val="006E2179"/>
    <w:rsid w:val="006F36F1"/>
    <w:rsid w:val="007108D3"/>
    <w:rsid w:val="00715171"/>
    <w:rsid w:val="00730BB8"/>
    <w:rsid w:val="007346A9"/>
    <w:rsid w:val="00741B7E"/>
    <w:rsid w:val="0079550D"/>
    <w:rsid w:val="00797EB8"/>
    <w:rsid w:val="007B30C7"/>
    <w:rsid w:val="007D0F46"/>
    <w:rsid w:val="007D24A9"/>
    <w:rsid w:val="007D3540"/>
    <w:rsid w:val="007D3E14"/>
    <w:rsid w:val="007E01BD"/>
    <w:rsid w:val="007E2C56"/>
    <w:rsid w:val="007F70BF"/>
    <w:rsid w:val="00811F01"/>
    <w:rsid w:val="00820D63"/>
    <w:rsid w:val="00825D2A"/>
    <w:rsid w:val="00835F29"/>
    <w:rsid w:val="00855DAA"/>
    <w:rsid w:val="008802C7"/>
    <w:rsid w:val="008B464B"/>
    <w:rsid w:val="008B58D9"/>
    <w:rsid w:val="008C2A46"/>
    <w:rsid w:val="008C58C4"/>
    <w:rsid w:val="008C5C2F"/>
    <w:rsid w:val="00911B5A"/>
    <w:rsid w:val="00913B77"/>
    <w:rsid w:val="00914CBA"/>
    <w:rsid w:val="00925FBB"/>
    <w:rsid w:val="00960748"/>
    <w:rsid w:val="00961AFA"/>
    <w:rsid w:val="0098199E"/>
    <w:rsid w:val="00983487"/>
    <w:rsid w:val="00A11125"/>
    <w:rsid w:val="00A2145B"/>
    <w:rsid w:val="00A354A0"/>
    <w:rsid w:val="00A37697"/>
    <w:rsid w:val="00A40F47"/>
    <w:rsid w:val="00A41F14"/>
    <w:rsid w:val="00A467F4"/>
    <w:rsid w:val="00A5044E"/>
    <w:rsid w:val="00A854B8"/>
    <w:rsid w:val="00A92788"/>
    <w:rsid w:val="00AB396D"/>
    <w:rsid w:val="00AD4C64"/>
    <w:rsid w:val="00AE76B6"/>
    <w:rsid w:val="00B30AF0"/>
    <w:rsid w:val="00B32849"/>
    <w:rsid w:val="00B417F0"/>
    <w:rsid w:val="00B42067"/>
    <w:rsid w:val="00B54572"/>
    <w:rsid w:val="00B95A4E"/>
    <w:rsid w:val="00BA3C38"/>
    <w:rsid w:val="00BC02FB"/>
    <w:rsid w:val="00BC55AE"/>
    <w:rsid w:val="00BD19C5"/>
    <w:rsid w:val="00BE27E0"/>
    <w:rsid w:val="00BE2C7F"/>
    <w:rsid w:val="00BE7946"/>
    <w:rsid w:val="00BF13D6"/>
    <w:rsid w:val="00BF4D65"/>
    <w:rsid w:val="00BF5328"/>
    <w:rsid w:val="00C012E2"/>
    <w:rsid w:val="00C0428D"/>
    <w:rsid w:val="00C1219C"/>
    <w:rsid w:val="00C15229"/>
    <w:rsid w:val="00C21760"/>
    <w:rsid w:val="00C27DEC"/>
    <w:rsid w:val="00C36A6C"/>
    <w:rsid w:val="00C601F0"/>
    <w:rsid w:val="00C67B5A"/>
    <w:rsid w:val="00C905CB"/>
    <w:rsid w:val="00C92BB4"/>
    <w:rsid w:val="00CC3D38"/>
    <w:rsid w:val="00CC60DC"/>
    <w:rsid w:val="00CD59F6"/>
    <w:rsid w:val="00CF0118"/>
    <w:rsid w:val="00CF5658"/>
    <w:rsid w:val="00CF6EDA"/>
    <w:rsid w:val="00D12AF1"/>
    <w:rsid w:val="00D1449B"/>
    <w:rsid w:val="00D1695B"/>
    <w:rsid w:val="00D41414"/>
    <w:rsid w:val="00D44989"/>
    <w:rsid w:val="00D655AC"/>
    <w:rsid w:val="00D938FB"/>
    <w:rsid w:val="00DA79D9"/>
    <w:rsid w:val="00DD34D2"/>
    <w:rsid w:val="00E13FC9"/>
    <w:rsid w:val="00E25887"/>
    <w:rsid w:val="00E53F46"/>
    <w:rsid w:val="00E836BB"/>
    <w:rsid w:val="00E905EE"/>
    <w:rsid w:val="00ED677E"/>
    <w:rsid w:val="00F12C75"/>
    <w:rsid w:val="00F27CB4"/>
    <w:rsid w:val="00F32BB9"/>
    <w:rsid w:val="00F350F4"/>
    <w:rsid w:val="00F54574"/>
    <w:rsid w:val="00F92E43"/>
    <w:rsid w:val="00FC6B39"/>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3FFEB0-DCE2-4A7B-B9C8-73BE7EA0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E14"/>
    <w:pPr>
      <w:tabs>
        <w:tab w:val="center" w:pos="4677"/>
        <w:tab w:val="right" w:pos="9355"/>
      </w:tabs>
    </w:pPr>
  </w:style>
  <w:style w:type="character" w:customStyle="1" w:styleId="a4">
    <w:name w:val="Верхний колонтитул Знак"/>
    <w:link w:val="a3"/>
    <w:uiPriority w:val="99"/>
    <w:locked/>
    <w:rsid w:val="007D3E14"/>
    <w:rPr>
      <w:rFonts w:cs="Times New Roman"/>
      <w:sz w:val="22"/>
    </w:rPr>
  </w:style>
  <w:style w:type="paragraph" w:styleId="a5">
    <w:name w:val="footer"/>
    <w:basedOn w:val="a"/>
    <w:link w:val="a6"/>
    <w:uiPriority w:val="99"/>
    <w:unhideWhenUsed/>
    <w:rsid w:val="007D3E14"/>
    <w:pPr>
      <w:tabs>
        <w:tab w:val="center" w:pos="4677"/>
        <w:tab w:val="right" w:pos="9355"/>
      </w:tabs>
    </w:pPr>
  </w:style>
  <w:style w:type="character" w:customStyle="1" w:styleId="a6">
    <w:name w:val="Нижний колонтитул Знак"/>
    <w:link w:val="a5"/>
    <w:uiPriority w:val="99"/>
    <w:locked/>
    <w:rsid w:val="007D3E14"/>
    <w:rPr>
      <w:rFonts w:cs="Times New Roman"/>
      <w:sz w:val="22"/>
    </w:rPr>
  </w:style>
  <w:style w:type="paragraph" w:customStyle="1" w:styleId="ConsPlusNormal">
    <w:name w:val="ConsPlusNormal"/>
    <w:rsid w:val="00045EC5"/>
    <w:pPr>
      <w:widowControl w:val="0"/>
      <w:autoSpaceDE w:val="0"/>
      <w:autoSpaceDN w:val="0"/>
    </w:pPr>
    <w:rPr>
      <w:rFonts w:ascii="Arial" w:hAnsi="Arial" w:cs="Arial"/>
      <w:sz w:val="22"/>
    </w:rPr>
  </w:style>
  <w:style w:type="table" w:styleId="a7">
    <w:name w:val="Table Grid"/>
    <w:basedOn w:val="a1"/>
    <w:uiPriority w:val="59"/>
    <w:rsid w:val="008B58D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2C75"/>
    <w:pPr>
      <w:spacing w:after="0" w:line="240" w:lineRule="auto"/>
      <w:ind w:left="720"/>
      <w:contextualSpacing/>
    </w:pPr>
    <w:rPr>
      <w:rFonts w:ascii="Times New Roman" w:hAnsi="Times New Roman"/>
      <w:sz w:val="24"/>
      <w:szCs w:val="24"/>
    </w:rPr>
  </w:style>
  <w:style w:type="character" w:styleId="a9">
    <w:name w:val="Hyperlink"/>
    <w:uiPriority w:val="99"/>
    <w:rsid w:val="004D7CB8"/>
    <w:rPr>
      <w:rFonts w:cs="Times New Roman"/>
      <w:color w:val="0000FF"/>
      <w:u w:val="single"/>
    </w:rPr>
  </w:style>
  <w:style w:type="character" w:customStyle="1" w:styleId="aa">
    <w:name w:val="Текст сноски Знак"/>
    <w:aliases w:val="Знак Знак1,Знак2 Знак"/>
    <w:link w:val="ab"/>
    <w:semiHidden/>
    <w:locked/>
    <w:rsid w:val="00382BDF"/>
    <w:rPr>
      <w:sz w:val="22"/>
      <w:lang w:val="x-none" w:eastAsia="en-US"/>
    </w:rPr>
  </w:style>
  <w:style w:type="paragraph" w:styleId="ab">
    <w:name w:val="footnote text"/>
    <w:aliases w:val="Знак,Знак2"/>
    <w:basedOn w:val="a"/>
    <w:link w:val="aa"/>
    <w:uiPriority w:val="99"/>
    <w:semiHidden/>
    <w:unhideWhenUsed/>
    <w:rsid w:val="00382BDF"/>
    <w:pPr>
      <w:tabs>
        <w:tab w:val="num" w:pos="644"/>
      </w:tabs>
      <w:spacing w:after="0" w:line="240" w:lineRule="auto"/>
    </w:pPr>
    <w:rPr>
      <w:rFonts w:cs="Calibri"/>
      <w:lang w:eastAsia="en-US"/>
    </w:rPr>
  </w:style>
  <w:style w:type="character" w:customStyle="1" w:styleId="1">
    <w:name w:val="Текст сноски Знак1"/>
    <w:aliases w:val="Знак Знак,Знак2 Знак1"/>
    <w:uiPriority w:val="99"/>
    <w:semiHidden/>
    <w:rPr>
      <w:rFonts w:cs="Times New Roman"/>
    </w:rPr>
  </w:style>
  <w:style w:type="character" w:customStyle="1" w:styleId="11">
    <w:name w:val="Текст сноски Знак11"/>
    <w:uiPriority w:val="99"/>
    <w:semiHidden/>
    <w:rsid w:val="00382BDF"/>
    <w:rPr>
      <w:rFonts w:cs="Times New Roman"/>
    </w:rPr>
  </w:style>
  <w:style w:type="table" w:customStyle="1" w:styleId="10">
    <w:name w:val="Сетка таблицы1"/>
    <w:basedOn w:val="a1"/>
    <w:next w:val="a7"/>
    <w:rsid w:val="00137E0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nhideWhenUsed/>
    <w:rsid w:val="00BD19C5"/>
    <w:pPr>
      <w:spacing w:after="120" w:line="240" w:lineRule="auto"/>
    </w:pPr>
    <w:rPr>
      <w:rFonts w:ascii="Times New Roman" w:hAnsi="Times New Roman"/>
      <w:sz w:val="20"/>
      <w:szCs w:val="20"/>
    </w:rPr>
  </w:style>
  <w:style w:type="character" w:customStyle="1" w:styleId="ad">
    <w:name w:val="Основной текст Знак"/>
    <w:link w:val="ac"/>
    <w:rsid w:val="00BD19C5"/>
    <w:rPr>
      <w:rFonts w:ascii="Times New Roman" w:hAnsi="Times New Roman" w:cs="Times New Roman"/>
    </w:rPr>
  </w:style>
  <w:style w:type="paragraph" w:styleId="ae">
    <w:name w:val="Balloon Text"/>
    <w:basedOn w:val="a"/>
    <w:link w:val="af"/>
    <w:uiPriority w:val="99"/>
    <w:semiHidden/>
    <w:unhideWhenUsed/>
    <w:rsid w:val="00ED677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D6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3436">
      <w:marLeft w:val="0"/>
      <w:marRight w:val="0"/>
      <w:marTop w:val="0"/>
      <w:marBottom w:val="0"/>
      <w:divBdr>
        <w:top w:val="none" w:sz="0" w:space="0" w:color="auto"/>
        <w:left w:val="none" w:sz="0" w:space="0" w:color="auto"/>
        <w:bottom w:val="none" w:sz="0" w:space="0" w:color="auto"/>
        <w:right w:val="none" w:sz="0" w:space="0" w:color="auto"/>
      </w:divBdr>
    </w:div>
    <w:div w:id="17211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A9CA2ED296BEEFE89763FA254E0410F4944B2C57A27828B09B19ED1CC1B908E08B8D5EB1E1OCl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PushkarevaMA\Desktop\&#1044;&#1083;&#1103;%20&#1092;&#1086;&#1088;&#1084;%20&#1043;&#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14AB7-3343-44FC-AD3E-F5D8B1A9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Для форм ГР</Template>
  <TotalTime>66</TotalTime>
  <Pages>9</Pages>
  <Words>3509</Words>
  <Characters>20007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444</cp:lastModifiedBy>
  <cp:revision>17</cp:revision>
  <cp:lastPrinted>2020-04-10T10:05:00Z</cp:lastPrinted>
  <dcterms:created xsi:type="dcterms:W3CDTF">2020-02-12T10:14:00Z</dcterms:created>
  <dcterms:modified xsi:type="dcterms:W3CDTF">2020-05-26T11:13:00Z</dcterms:modified>
</cp:coreProperties>
</file>