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2B75" w:rsidRPr="000C2B75" w:rsidRDefault="000C2B75" w:rsidP="000C2B7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u w:val="single"/>
          <w:lang w:eastAsia="ru-RU"/>
        </w:rPr>
      </w:pPr>
      <w:r w:rsidRPr="000C2B75">
        <w:rPr>
          <w:rFonts w:ascii="Tahoma" w:eastAsia="Times New Roman" w:hAnsi="Tahoma" w:cs="Tahoma"/>
          <w:b/>
          <w:sz w:val="21"/>
          <w:szCs w:val="21"/>
          <w:u w:val="single"/>
          <w:lang w:eastAsia="ru-RU"/>
        </w:rPr>
        <w:t>Извещение о проведении электронного аукциона</w:t>
      </w:r>
    </w:p>
    <w:p w:rsidR="000C2B75" w:rsidRPr="000C2B75" w:rsidRDefault="000C2B75" w:rsidP="000C2B75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b/>
          <w:sz w:val="21"/>
          <w:szCs w:val="21"/>
          <w:u w:val="single"/>
          <w:lang w:eastAsia="ru-RU"/>
        </w:rPr>
      </w:pPr>
      <w:r w:rsidRPr="000C2B75">
        <w:rPr>
          <w:rFonts w:ascii="Tahoma" w:eastAsia="Times New Roman" w:hAnsi="Tahoma" w:cs="Tahoma"/>
          <w:b/>
          <w:sz w:val="21"/>
          <w:szCs w:val="21"/>
          <w:u w:val="single"/>
          <w:lang w:eastAsia="ru-RU"/>
        </w:rPr>
        <w:t>для закупки №0373100055120000001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9"/>
        <w:gridCol w:w="5596"/>
      </w:tblGrid>
      <w:tr w:rsidR="000C2B75" w:rsidRPr="000C2B75" w:rsidTr="00957D30">
        <w:tc>
          <w:tcPr>
            <w:tcW w:w="2000" w:type="pct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0373100055120000001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Поставка ламината и расходных материалов к нему для нужд ИПУ РАН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Электронный аукцион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РТС-тендер</w:t>
            </w:r>
            <w:bookmarkStart w:id="0" w:name="_GoBack"/>
            <w:bookmarkEnd w:id="0"/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http://www.rts-tender.ru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Заказчик</w:t>
            </w: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br/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ФЕДЕРАЛЬНОЕ ГОСУДАРСТВЕННОЕ БЮДЖЕТНОЕ УЧРЕЖДЕНИЕ НАУКИ ИНСТИТУТ ПРОБЛЕМ УПРАВЛЕНИЯ ИМ. В.А. ТРАПЕЗНИКОВА РОССИЙСКОЙ АКАДЕМИИ НАУК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117997, г. Москва, ул. Профсоюзная, дом 65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117997, Москва, УЛ ПРОФСОЮЗНАЯ, 65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Тимохин Дмитрий Александрович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kontrak@ipu.ru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7-495-3349179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начала подачи заявок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Значение соответствует фактической дате и времени размещения извещения по местному времени организации, осуществляющей размещение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и время окончания подачи заявок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27.02.2020 23:59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подачи заявок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Заявка на участие в аукционе направляется участником оператору электронной площадки. 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подачи заявок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закупки вправе подать заявку на участие в электронном аукционе в любой момент с даты размещения на официальном сайте извещения о проведении электронного аукциона до предусмотренных документацией об открытом аукционе даты и времени окончания срока подачи заявок на участие в электронном аукционе. Заявка на участие в электронном аукционе направляется участником закупки оператору электронной площадки в форме двух электронных документов, содержащих соответственно первую и вторую части заявки. Указанные электронные документы подаются одновременно.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>Дата окончания срока рассмотрения первых частей заявок участников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28.02.2020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Дата проведения аукциона в электронной форме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02.03.2020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 электронного аукциона, подавший заявку на участие в таком аукционе, вправе отозвать данную заявку не позднее даты окончания срока подачи заявок на участие в таком аукционе, направив об этом уведомление оператору электронной площадки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327945.54 Российский рубль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81"/>
              <w:gridCol w:w="1858"/>
              <w:gridCol w:w="1852"/>
              <w:gridCol w:w="1852"/>
              <w:gridCol w:w="2792"/>
            </w:tblGrid>
            <w:tr w:rsidR="000C2B75" w:rsidRPr="000C2B75"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2020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2021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0C2B75" w:rsidRPr="000C2B75"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327945.54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327945.54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0</w:t>
                  </w:r>
                </w:p>
              </w:tc>
            </w:tr>
          </w:tbl>
          <w:p w:rsidR="000C2B75" w:rsidRPr="000C2B75" w:rsidRDefault="000C2B75" w:rsidP="000C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Источник финансирования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За счет средств федерального бюджета в пределах доведенных лимитов бюджетных обязательств, год бюджета - 2020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201772801351277280100100090010000000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Место доставки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Российская Федерация, Москва, ул. Профсоюзная, д. 65, ИПУ РАН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Сроки поставки товара или завершения работы либо график оказания услуг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В течение 14 (четырнадцати) календарных дней с даты заключения Контракта.</w:t>
            </w:r>
          </w:p>
        </w:tc>
      </w:tr>
      <w:tr w:rsidR="000C2B75" w:rsidRPr="000C2B75" w:rsidTr="00957D30">
        <w:tc>
          <w:tcPr>
            <w:tcW w:w="0" w:type="auto"/>
            <w:gridSpan w:val="2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Объект закупки</w:t>
            </w:r>
          </w:p>
        </w:tc>
      </w:tr>
      <w:tr w:rsidR="000C2B75" w:rsidRPr="000C2B75" w:rsidTr="00957D30">
        <w:tc>
          <w:tcPr>
            <w:tcW w:w="0" w:type="auto"/>
            <w:gridSpan w:val="2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Российский рубль</w:t>
            </w:r>
          </w:p>
        </w:tc>
      </w:tr>
      <w:tr w:rsidR="000C2B75" w:rsidRPr="000C2B75" w:rsidTr="00957D3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59"/>
              <w:gridCol w:w="1025"/>
              <w:gridCol w:w="1359"/>
              <w:gridCol w:w="880"/>
              <w:gridCol w:w="997"/>
              <w:gridCol w:w="997"/>
              <w:gridCol w:w="1075"/>
              <w:gridCol w:w="672"/>
              <w:gridCol w:w="961"/>
            </w:tblGrid>
            <w:tr w:rsidR="000C2B75" w:rsidRPr="000C2B75" w:rsidTr="000C2B7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 товара, работы, услуги по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Количество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 xml:space="preserve">Цена за </w:t>
                  </w:r>
                  <w:proofErr w:type="spellStart"/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ед.изм</w:t>
                  </w:r>
                  <w:proofErr w:type="spellEnd"/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.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Стоимость</w:t>
                  </w:r>
                </w:p>
              </w:tc>
            </w:tr>
            <w:tr w:rsidR="000C2B75" w:rsidRPr="000C2B75" w:rsidTr="000C2B75"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Значение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C2B75" w:rsidRPr="000C2B75" w:rsidTr="000C2B7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proofErr w:type="spellStart"/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Ламинат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16.29.14.199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Квадратный метр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504.29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579.59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292281.44</w:t>
                  </w:r>
                </w:p>
              </w:tc>
            </w:tr>
            <w:tr w:rsidR="000C2B75" w:rsidRPr="000C2B75" w:rsidTr="000C2B75"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C2B75" w:rsidRPr="000C2B75" w:rsidTr="000C2B7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 xml:space="preserve">Подложка под </w:t>
                  </w:r>
                  <w:proofErr w:type="spellStart"/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ламинат</w:t>
                  </w:r>
                  <w:proofErr w:type="spellEnd"/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22.21.30.120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Рулон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1251.41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12514.10</w:t>
                  </w:r>
                </w:p>
              </w:tc>
            </w:tr>
            <w:tr w:rsidR="000C2B75" w:rsidRPr="000C2B75" w:rsidTr="000C2B75"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C2B75" w:rsidRPr="000C2B75" w:rsidTr="000C2B7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Плинтус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90.03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18006.00</w:t>
                  </w:r>
                </w:p>
              </w:tc>
            </w:tr>
            <w:tr w:rsidR="000C2B75" w:rsidRPr="000C2B75" w:rsidTr="000C2B75"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C2B75" w:rsidRPr="000C2B75" w:rsidTr="000C2B7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Угол внутренний для плинтуса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11.08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1108.00</w:t>
                  </w:r>
                </w:p>
              </w:tc>
            </w:tr>
            <w:tr w:rsidR="000C2B75" w:rsidRPr="000C2B75" w:rsidTr="000C2B75"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C2B75" w:rsidRPr="000C2B75" w:rsidTr="000C2B7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Угол наружный для плинтуса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11.08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1108.00</w:t>
                  </w:r>
                </w:p>
              </w:tc>
            </w:tr>
            <w:tr w:rsidR="000C2B75" w:rsidRPr="000C2B75" w:rsidTr="000C2B75"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C2B75" w:rsidRPr="000C2B75" w:rsidTr="000C2B7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Заглушки для плинтуса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Пара (2 шт.)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18.21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1821.00</w:t>
                  </w:r>
                </w:p>
              </w:tc>
            </w:tr>
            <w:tr w:rsidR="000C2B75" w:rsidRPr="000C2B75" w:rsidTr="000C2B75"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  <w:tr w:rsidR="000C2B75" w:rsidRPr="000C2B75" w:rsidTr="000C2B75"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Соединительная планка для плинтуса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22.23.19.000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11.07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1107.00</w:t>
                  </w:r>
                </w:p>
              </w:tc>
            </w:tr>
            <w:tr w:rsidR="000C2B75" w:rsidRPr="000C2B75" w:rsidTr="000C2B75"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В соответствии с техническим заданием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</w:tr>
          </w:tbl>
          <w:p w:rsidR="000C2B75" w:rsidRPr="000C2B75" w:rsidRDefault="000C2B75" w:rsidP="000C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gridSpan w:val="2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jc w:val="right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Итого: 327945.54 Российский рубль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Преимущества и 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Преимущества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Субъектам малого предпринимательства, социально ориентированным некоммерческим организациям</w:t>
            </w:r>
          </w:p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04.06.2018 - 15%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Требования к участникам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Единые требования к участникам (в соответствии с частью 1 Статьи 31 Федерального закона № 44-ФЗ) </w:t>
            </w:r>
          </w:p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участника закупки о соответствии единым требованиям</w:t>
            </w:r>
          </w:p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Требования к участникам закупок в соответствии с частью 1.1 статьи 31 Федерального закона № 44-ФЗ </w:t>
            </w:r>
          </w:p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Декларация об отсутствии в реестре недобросовестных поставщиков (подрядчиков, исполнителей) информации об участнике закупки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Ограничения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2 Закупка у субъектов малого предпринимательства и социально ориентированных некоммерческих организаций </w:t>
            </w:r>
          </w:p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Декларация о принадлежности участника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ограничения, предусмотренного ч. 3 ст. 30 Федерального закона 44-ФЗ (указанная декларация предоставляется с использованием программно-аппаратных средств электронной площадки) </w:t>
            </w:r>
          </w:p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1 Запрет на допуск товаров, услуг при осуществлении закупок, а также ограничения и условия допуска в соответствии с требованиями, установленными статьей 14 Федерального закона № 44-ФЗ </w:t>
            </w:r>
          </w:p>
        </w:tc>
      </w:tr>
      <w:tr w:rsidR="000C2B75" w:rsidRPr="000C2B75" w:rsidTr="00957D30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7"/>
              <w:gridCol w:w="3869"/>
              <w:gridCol w:w="2712"/>
              <w:gridCol w:w="1377"/>
            </w:tblGrid>
            <w:tr w:rsidR="000C2B75" w:rsidRPr="000C2B75" w:rsidTr="000C2B75"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jc w:val="center"/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b/>
                      <w:bCs/>
                      <w:sz w:val="21"/>
                      <w:szCs w:val="21"/>
                      <w:lang w:eastAsia="ru-RU"/>
                    </w:rPr>
                    <w:t>Примечание</w:t>
                  </w:r>
                </w:p>
              </w:tc>
            </w:tr>
            <w:tr w:rsidR="000C2B75" w:rsidRPr="000C2B75" w:rsidTr="000C2B75"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Условие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  <w:r w:rsidRPr="000C2B75"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  <w:t>Участникам, заявки или окончательные предложения которых содержат предложения о поставке товаров в соответствии с приказом Минфина России № 126н от 04.06.2018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ahoma" w:eastAsia="Times New Roman" w:hAnsi="Tahoma" w:cs="Tahoma"/>
                      <w:sz w:val="21"/>
                      <w:szCs w:val="21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C2B75" w:rsidRPr="000C2B75" w:rsidRDefault="000C2B75" w:rsidP="000C2B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C2B75" w:rsidRPr="000C2B75" w:rsidRDefault="000C2B75" w:rsidP="000C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заявок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Обеспечение заявок не требуется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10.00%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lastRenderedPageBreak/>
              <w:t xml:space="preserve">Порядок предоставления обеспечения исполнения контракта, требования к обеспечению, информация о банковском сопровождении контракта 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исполнения контракта может быть представлено в виде безотзывной банковской гарантии или внесением денежных средств на указанный заказчиком счет, на котором в соответствии с законодательством Российской Федерации учитываются операции со средствами, поступающими заказчику, в размере обеспечения исполнения контракта, указанном в документации о закупках. Безотзывная банковская гарантия должна соответствовать требованиям, установленным Гражданским кодексом Российской Федерации, а также иным законодательством Российской Федерации. Способ обеспечения исполнения контракта определяется участником аукциона, с которым заключается контракт, самостоятельно. В случае заключения контракта по результатам определения поставщика (подрядчика, исполнителя) в соответствии с п. 1 ч. 1 ст. 30 Закона о контрактной системе (у субъектов малого предпринимательства, социально ориентированных некоммерческих организаций) размер обеспечения исполнения контракта рассчитывается после определения поставщика (подрядчика, исполнителя) и устанавливается от цены контракта, но не может составлять менее чем размер аванса. Участник закупки, с которым заключается контракт по результатам определения поставщика (подрядчика, исполнителя) в соответствии с пунктом 1 части 1 статьи 30 Федерального закона № 44-ФЗ, освобождается от предоставления обеспечения исполнения контракта в соответствии с ч.8.1 ст. 96 Закона о контрактной системе. Срок внесения обеспечения - до момента заключения контракта. 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расчётного счёта" 40501810845252000079</w:t>
            </w:r>
          </w:p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"Номер лицевого счёта" 20736Ц83220</w:t>
            </w:r>
          </w:p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"БИК" 044525000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Требуется обеспечение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Размер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1639.73 Российский рубль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Порядок внесения денежных средств в качестве обеспечения гарантийных обязательств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Обеспечение гарантийных обязательств предоставляется в виде банковской гарантии или внесения на счет денежных средств. </w:t>
            </w:r>
            <w:r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Способ обеспечения </w:t>
            </w: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 xml:space="preserve">обязательств поставщик определяет самостоятельно. Оформление документа о приемке Товара осуществляется только после предоставления Поставщиком обеспечения исполнения гарантийных обязательств. 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Платежные реквизиты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«Номер расчетного счета» 40501810845252000079</w:t>
            </w:r>
          </w:p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«Номер лицевого счета» 20736Ц83220</w:t>
            </w:r>
          </w:p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«БИК» 044525000</w:t>
            </w:r>
          </w:p>
        </w:tc>
      </w:tr>
      <w:tr w:rsidR="000C2B75" w:rsidRPr="000C2B75" w:rsidTr="00957D30">
        <w:tc>
          <w:tcPr>
            <w:tcW w:w="0" w:type="auto"/>
            <w:gridSpan w:val="2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lastRenderedPageBreak/>
              <w:t>Информация о банковском и (или) казначейском сопровождении контракта</w:t>
            </w:r>
          </w:p>
        </w:tc>
      </w:tr>
      <w:tr w:rsidR="000C2B75" w:rsidRPr="000C2B75" w:rsidTr="00957D30">
        <w:tc>
          <w:tcPr>
            <w:tcW w:w="0" w:type="auto"/>
            <w:gridSpan w:val="2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Банковское или казначейское сопровождение контракта не требуется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Информация отсутствует</w:t>
            </w:r>
          </w:p>
        </w:tc>
      </w:tr>
      <w:tr w:rsidR="000C2B75" w:rsidRPr="000C2B75" w:rsidTr="00957D30"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after="0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b/>
                <w:bCs/>
                <w:sz w:val="21"/>
                <w:szCs w:val="21"/>
                <w:lang w:eastAsia="ru-RU"/>
              </w:rPr>
              <w:t>Перечень прикрепленных документов</w:t>
            </w:r>
          </w:p>
        </w:tc>
        <w:tc>
          <w:tcPr>
            <w:tcW w:w="0" w:type="auto"/>
            <w:vAlign w:val="center"/>
            <w:hideMark/>
          </w:tcPr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1 ЭА-01 Аукционная документация</w:t>
            </w:r>
          </w:p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2 ЭА-01 Приглашение к участию</w:t>
            </w:r>
          </w:p>
          <w:p w:rsidR="000C2B75" w:rsidRPr="000C2B75" w:rsidRDefault="000C2B75" w:rsidP="000C2B75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</w:pPr>
            <w:r w:rsidRPr="000C2B75">
              <w:rPr>
                <w:rFonts w:ascii="Tahoma" w:eastAsia="Times New Roman" w:hAnsi="Tahoma" w:cs="Tahoma"/>
                <w:sz w:val="21"/>
                <w:szCs w:val="21"/>
                <w:lang w:eastAsia="ru-RU"/>
              </w:rPr>
              <w:t>3 ЭА-01 Проект контракта</w:t>
            </w:r>
          </w:p>
        </w:tc>
      </w:tr>
    </w:tbl>
    <w:p w:rsidR="00132BED" w:rsidRDefault="00132BED"/>
    <w:sectPr w:rsidR="00132B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493"/>
    <w:rsid w:val="000C2B75"/>
    <w:rsid w:val="00132BED"/>
    <w:rsid w:val="00843493"/>
    <w:rsid w:val="00957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91EDA4-A878-4F08-A31C-9C16BBB4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04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3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59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171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70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2487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4356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1331</Words>
  <Characters>7591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2020-02-18T07:27:00Z</dcterms:created>
  <dcterms:modified xsi:type="dcterms:W3CDTF">2020-02-18T07:29:00Z</dcterms:modified>
</cp:coreProperties>
</file>