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1.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 xml:space="preserve">Объект закупки: </w:t>
      </w:r>
      <w:r w:rsidRPr="00B900D7">
        <w:rPr>
          <w:rFonts w:eastAsia="Calibri"/>
          <w:lang w:eastAsia="ar-SA"/>
        </w:rPr>
        <w:t xml:space="preserve">поставка строительных материалов для нужд текущего ремонта ИПУ РАН </w:t>
      </w:r>
      <w:r w:rsidRPr="00B900D7">
        <w:rPr>
          <w:rFonts w:eastAsia="Calibri"/>
          <w:shd w:val="clear" w:color="auto" w:fill="FFFFFF"/>
          <w:lang w:eastAsia="ar-SA"/>
        </w:rPr>
        <w:t>(далее – Товар)</w:t>
      </w:r>
      <w:r w:rsidRPr="00B900D7">
        <w:rPr>
          <w:rFonts w:eastAsia="Calibri"/>
          <w:lang w:eastAsia="ar-SA"/>
        </w:rPr>
        <w:t>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2. Краткие характеристики поставляемых товаров</w:t>
      </w:r>
      <w:r w:rsidRPr="00B900D7">
        <w:rPr>
          <w:rFonts w:eastAsia="Calibri"/>
          <w:lang w:eastAsia="ar-SA"/>
        </w:rPr>
        <w:t xml:space="preserve">: </w:t>
      </w:r>
      <w:r w:rsidRPr="00B900D7">
        <w:rPr>
          <w:lang w:eastAsia="en-US"/>
        </w:rPr>
        <w:t xml:space="preserve">в соответствии с </w:t>
      </w:r>
      <w:r w:rsidR="0056580C">
        <w:rPr>
          <w:lang w:eastAsia="en-US"/>
        </w:rPr>
        <w:t xml:space="preserve">Приложением № </w:t>
      </w:r>
      <w:r>
        <w:rPr>
          <w:lang w:eastAsia="en-US"/>
        </w:rPr>
        <w:t xml:space="preserve">2 </w:t>
      </w:r>
      <w:r w:rsidRPr="00B900D7">
        <w:rPr>
          <w:lang w:eastAsia="en-US"/>
        </w:rPr>
        <w:t>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</w:t>
      </w:r>
      <w:r>
        <w:rPr>
          <w:lang w:eastAsia="en-US"/>
        </w:rPr>
        <w:t xml:space="preserve"> (далее – Таблица № 2)</w:t>
      </w:r>
      <w:r w:rsidRPr="00B900D7">
        <w:rPr>
          <w:lang w:eastAsia="en-US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B900D7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</w:t>
      </w:r>
      <w:r w:rsidR="0056580C">
        <w:rPr>
          <w:rFonts w:eastAsia="Calibri"/>
          <w:lang w:eastAsia="ar-SA"/>
        </w:rPr>
        <w:t>Приложении</w:t>
      </w:r>
      <w:r>
        <w:rPr>
          <w:rFonts w:eastAsia="Calibri"/>
          <w:lang w:eastAsia="ar-SA"/>
        </w:rPr>
        <w:t xml:space="preserve"> № 2. 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Pr="00B900D7">
        <w:rPr>
          <w:bCs/>
          <w:lang w:eastAsia="ru-RU"/>
        </w:rPr>
        <w:t xml:space="preserve">16.21.13.000 - Плиты древесно-стружечные и аналогичные плиты из древесины или других одревесневших материалов </w:t>
      </w:r>
      <w:r w:rsidRPr="00B900D7">
        <w:rPr>
          <w:bCs/>
          <w:i/>
          <w:lang w:eastAsia="ru-RU"/>
        </w:rPr>
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bCs/>
          <w:i/>
          <w:lang w:eastAsia="ru-RU"/>
        </w:rPr>
        <w:t>Обязательное применение с 01.01.2024)</w:t>
      </w:r>
      <w:r>
        <w:rPr>
          <w:bCs/>
          <w:i/>
          <w:lang w:eastAsia="ru-RU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3.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>Перечень и количество поставляемого товара:</w:t>
      </w:r>
      <w:r w:rsidRPr="00B900D7">
        <w:rPr>
          <w:rFonts w:eastAsia="Calibri"/>
          <w:lang w:eastAsia="ar-SA"/>
        </w:rPr>
        <w:t xml:space="preserve"> общее количество поставляемого товара по 1 (одной) номенклатурной позиции – 543 штуки в соответствии </w:t>
      </w:r>
      <w:r>
        <w:rPr>
          <w:rFonts w:eastAsia="Calibri"/>
          <w:lang w:eastAsia="ar-SA"/>
        </w:rPr>
        <w:t xml:space="preserve">с Приложением </w:t>
      </w:r>
      <w:r w:rsidR="00777C8C">
        <w:rPr>
          <w:rFonts w:eastAsia="Calibri"/>
          <w:lang w:eastAsia="ar-SA"/>
        </w:rPr>
        <w:t xml:space="preserve">                  </w:t>
      </w:r>
      <w:r>
        <w:rPr>
          <w:rFonts w:eastAsia="Calibri"/>
          <w:lang w:eastAsia="ar-SA"/>
        </w:rPr>
        <w:t xml:space="preserve">№ 1 к Техническому заданию «Спецификация </w:t>
      </w:r>
      <w:r w:rsidRPr="00B900D7">
        <w:rPr>
          <w:rFonts w:eastAsia="Calibri"/>
          <w:lang w:eastAsia="ar-SA"/>
        </w:rPr>
        <w:t xml:space="preserve">на поставку </w:t>
      </w:r>
      <w:r w:rsidRPr="00B900D7">
        <w:rPr>
          <w:rFonts w:eastAsia="Calibri"/>
          <w:shd w:val="clear" w:color="auto" w:fill="FFFFFF"/>
          <w:lang w:eastAsia="ar-SA"/>
        </w:rPr>
        <w:t>строительных материалов дл</w:t>
      </w:r>
      <w:r>
        <w:rPr>
          <w:rFonts w:eastAsia="Calibri"/>
          <w:shd w:val="clear" w:color="auto" w:fill="FFFFFF"/>
          <w:lang w:eastAsia="ar-SA"/>
        </w:rPr>
        <w:t>я нужд текущего ремонта ИПУ РАН</w:t>
      </w:r>
      <w:r w:rsidRPr="00B900D7">
        <w:rPr>
          <w:rFonts w:eastAsia="Calibri"/>
          <w:lang w:eastAsia="ar-SA"/>
        </w:rPr>
        <w:t>, являющимся его неотъемлемой частью.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B900D7" w:rsidRPr="00B900D7" w:rsidRDefault="00B900D7" w:rsidP="00B900D7">
      <w:pPr>
        <w:suppressAutoHyphens w:val="0"/>
        <w:ind w:firstLine="540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B900D7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B900D7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777C8C" w:rsidRDefault="00777C8C" w:rsidP="00777C8C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777C8C">
        <w:rPr>
          <w:rFonts w:eastAsia="Calibri"/>
          <w:bCs/>
          <w:kern w:val="1"/>
          <w:lang w:eastAsia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ранее 2022 года выпуска, изготовлен в соответствии с требованиями, установленными законодательством Российской Федерации.</w:t>
      </w:r>
    </w:p>
    <w:p w:rsidR="00B900D7" w:rsidRPr="00B900D7" w:rsidRDefault="00B900D7" w:rsidP="00777C8C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B900D7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b/>
          <w:lang w:eastAsia="ar-SA"/>
        </w:rPr>
      </w:pPr>
      <w:r w:rsidRPr="00B900D7">
        <w:rPr>
          <w:rFonts w:eastAsia="Calibri"/>
          <w:b/>
          <w:lang w:eastAsia="ar-SA"/>
        </w:rPr>
        <w:t xml:space="preserve">Поставка и разгрузка Товара осуществляется по адресу г. </w:t>
      </w:r>
      <w:proofErr w:type="gramStart"/>
      <w:r w:rsidRPr="00B900D7">
        <w:rPr>
          <w:rFonts w:eastAsia="Calibri"/>
          <w:b/>
          <w:lang w:eastAsia="ar-SA"/>
        </w:rPr>
        <w:t xml:space="preserve">Москва, </w:t>
      </w:r>
      <w:r>
        <w:rPr>
          <w:rFonts w:eastAsia="Calibri"/>
          <w:b/>
          <w:lang w:eastAsia="ar-SA"/>
        </w:rPr>
        <w:t xml:space="preserve">  </w:t>
      </w:r>
      <w:proofErr w:type="gramEnd"/>
      <w:r>
        <w:rPr>
          <w:rFonts w:eastAsia="Calibri"/>
          <w:b/>
          <w:lang w:eastAsia="ar-SA"/>
        </w:rPr>
        <w:t xml:space="preserve">                                      </w:t>
      </w:r>
      <w:r w:rsidRPr="00B900D7">
        <w:rPr>
          <w:rFonts w:eastAsia="Calibri"/>
          <w:b/>
          <w:lang w:eastAsia="ar-SA"/>
        </w:rPr>
        <w:t xml:space="preserve">ул. Профсоюзная, д. 65, ИПУ РАН силами Поставщика. </w:t>
      </w:r>
      <w:bookmarkStart w:id="0" w:name="_Hlk109914939"/>
    </w:p>
    <w:bookmarkEnd w:id="0"/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lastRenderedPageBreak/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B900D7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B900D7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B900D7">
        <w:rPr>
          <w:rFonts w:eastAsia="Calibri"/>
          <w:lang w:eastAsia="ar-SA"/>
        </w:rPr>
        <w:t>.</w:t>
      </w:r>
    </w:p>
    <w:p w:rsidR="00B900D7" w:rsidRPr="00B900D7" w:rsidRDefault="00B900D7" w:rsidP="00B900D7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B900D7">
        <w:rPr>
          <w:rFonts w:eastAsia="Calibri"/>
          <w:lang w:eastAsia="ar-SA"/>
        </w:rPr>
        <w:br/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B900D7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B900D7">
        <w:rPr>
          <w:rFonts w:eastAsia="Calibri"/>
          <w:lang w:eastAsia="ar-SA"/>
        </w:rPr>
        <w:br/>
        <w:t>с производственными кодами на упаковке.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B900D7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B900D7" w:rsidRPr="00B900D7" w:rsidRDefault="00B900D7" w:rsidP="00B900D7">
      <w:pPr>
        <w:suppressAutoHyphens w:val="0"/>
        <w:ind w:firstLine="708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bCs/>
          <w:lang w:eastAsia="ar-SA"/>
        </w:rPr>
        <w:t xml:space="preserve">- </w:t>
      </w:r>
      <w:r w:rsidRPr="00B900D7">
        <w:rPr>
          <w:rFonts w:eastAsia="Calibri"/>
          <w:lang w:eastAsia="ar-SA"/>
        </w:rPr>
        <w:t xml:space="preserve"> </w:t>
      </w:r>
      <w:r>
        <w:rPr>
          <w:rFonts w:eastAsia="Calibri"/>
          <w:kern w:val="2"/>
          <w:lang w:eastAsia="ar-SA" w:bidi="hi-IN"/>
        </w:rPr>
        <w:t>п</w:t>
      </w:r>
      <w:r w:rsidRPr="00B900D7">
        <w:rPr>
          <w:rFonts w:eastAsia="Calibri"/>
          <w:kern w:val="2"/>
          <w:lang w:eastAsia="ar-SA" w:bidi="hi-IN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B900D7">
        <w:rPr>
          <w:rFonts w:eastAsia="Calibri"/>
          <w:lang w:eastAsia="ar-SA"/>
        </w:rPr>
        <w:t>;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bCs/>
          <w:lang w:eastAsia="ar-SA"/>
        </w:rPr>
        <w:t>- ГОСТ Р 59555-2021 «Изделия профильные из древесно-полимерного композита. Технические условия».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b/>
          <w:bCs/>
          <w:lang w:eastAsia="ar-SA"/>
        </w:rPr>
        <w:t>5. Требования к поставке Товара: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bCs/>
          <w:lang w:eastAsia="ar-SA"/>
        </w:rPr>
        <w:lastRenderedPageBreak/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B900D7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 xml:space="preserve">Срок поставки Товара в течение </w:t>
      </w:r>
      <w:r w:rsidRPr="00B900D7">
        <w:rPr>
          <w:rFonts w:eastAsia="Calibri"/>
          <w:b/>
          <w:lang w:eastAsia="ar-SA"/>
        </w:rPr>
        <w:t>14 (четырнадцати) рабочих дней</w:t>
      </w:r>
      <w:r w:rsidRPr="00B900D7">
        <w:rPr>
          <w:rFonts w:eastAsia="Calibri"/>
          <w:lang w:eastAsia="ar-SA"/>
        </w:rPr>
        <w:t xml:space="preserve"> с даты заключения Контракта. </w:t>
      </w:r>
    </w:p>
    <w:p w:rsidR="00D27F40" w:rsidRDefault="00B900D7" w:rsidP="00D27F40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B900D7">
        <w:rPr>
          <w:rFonts w:eastAsia="Calibri"/>
          <w:lang w:eastAsia="ar-SA"/>
        </w:rPr>
        <w:t>в соответствии с условиями Контракта.</w:t>
      </w:r>
    </w:p>
    <w:p w:rsidR="00B900D7" w:rsidRPr="00B900D7" w:rsidRDefault="00B900D7" w:rsidP="00D27F40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B900D7">
        <w:rPr>
          <w:rFonts w:eastAsia="Calibri"/>
          <w:lang w:eastAsia="ar-SA"/>
        </w:rPr>
        <w:t xml:space="preserve"> </w:t>
      </w:r>
    </w:p>
    <w:p w:rsidR="00B900D7" w:rsidRDefault="00B900D7" w:rsidP="00B900D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900D7">
        <w:rPr>
          <w:rFonts w:eastAsia="Calibri"/>
          <w:lang w:eastAsia="ar-SA"/>
        </w:rPr>
        <w:t xml:space="preserve">       Согласно требований Технического задания, Сведени</w:t>
      </w:r>
      <w:r>
        <w:rPr>
          <w:rFonts w:eastAsia="Calibri"/>
          <w:lang w:eastAsia="ar-SA"/>
        </w:rPr>
        <w:t>й</w:t>
      </w:r>
      <w:r w:rsidRPr="00B900D7">
        <w:rPr>
          <w:rFonts w:eastAsia="Calibri"/>
          <w:lang w:eastAsia="ar-SA"/>
        </w:rPr>
        <w:t xml:space="preserve"> о качестве, технических характерис</w:t>
      </w:r>
      <w:r>
        <w:rPr>
          <w:rFonts w:eastAsia="Calibri"/>
          <w:lang w:eastAsia="ar-SA"/>
        </w:rPr>
        <w:t xml:space="preserve">тиках товара, его безопасности, </w:t>
      </w:r>
      <w:r w:rsidRPr="00B900D7">
        <w:rPr>
          <w:rFonts w:eastAsia="Calibri"/>
          <w:lang w:eastAsia="ar-SA"/>
        </w:rPr>
        <w:t xml:space="preserve">функциональных характеристиках (потребительских свойствах) товара, размере, упаковке, отгрузке товара и иные сведения о товаре, (Приложение </w:t>
      </w:r>
      <w:r w:rsidR="0056580C">
        <w:rPr>
          <w:rFonts w:eastAsia="Calibri"/>
          <w:lang w:eastAsia="ar-SA"/>
        </w:rPr>
        <w:t xml:space="preserve">№ 2 </w:t>
      </w:r>
      <w:r w:rsidRPr="00B900D7">
        <w:rPr>
          <w:rFonts w:eastAsia="Calibri"/>
          <w:lang w:eastAsia="ar-SA"/>
        </w:rPr>
        <w:t xml:space="preserve">к Техническому заданию) и Спецификации на поставку </w:t>
      </w:r>
      <w:r w:rsidRPr="00B900D7">
        <w:rPr>
          <w:rFonts w:eastAsia="Calibri"/>
          <w:shd w:val="clear" w:color="auto" w:fill="FFFFFF"/>
          <w:lang w:eastAsia="ar-SA"/>
        </w:rPr>
        <w:t xml:space="preserve">строительных материалов для нужд текущего ремонта ИПУ РАН </w:t>
      </w:r>
      <w:r w:rsidRPr="00B900D7">
        <w:rPr>
          <w:rFonts w:eastAsia="Calibri"/>
          <w:lang w:eastAsia="ar-SA"/>
        </w:rPr>
        <w:t xml:space="preserve">(Приложение </w:t>
      </w:r>
      <w:r>
        <w:rPr>
          <w:rFonts w:eastAsia="Calibri"/>
          <w:lang w:eastAsia="ar-SA"/>
        </w:rPr>
        <w:t>№ 1</w:t>
      </w:r>
      <w:r w:rsidRPr="00B900D7">
        <w:rPr>
          <w:rFonts w:eastAsia="Calibri"/>
          <w:lang w:eastAsia="ar-SA"/>
        </w:rPr>
        <w:t xml:space="preserve"> к </w:t>
      </w:r>
      <w:r>
        <w:rPr>
          <w:rFonts w:eastAsia="Calibri"/>
          <w:lang w:eastAsia="ar-SA"/>
        </w:rPr>
        <w:t>Техническому заданию</w:t>
      </w:r>
      <w:r w:rsidRPr="00B900D7">
        <w:rPr>
          <w:rFonts w:eastAsia="Calibri"/>
          <w:lang w:eastAsia="ar-SA"/>
        </w:rPr>
        <w:t>).</w:t>
      </w: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spacing w:line="360" w:lineRule="auto"/>
        <w:rPr>
          <w:rFonts w:eastAsia="Calibri"/>
          <w:b/>
          <w:lang w:eastAsia="ar-SA"/>
        </w:rPr>
      </w:pPr>
      <w:r w:rsidRPr="00B900D7">
        <w:rPr>
          <w:rFonts w:eastAsia="Calibri"/>
          <w:b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56"/>
        <w:gridCol w:w="993"/>
        <w:gridCol w:w="1417"/>
        <w:gridCol w:w="1102"/>
      </w:tblGrid>
      <w:tr w:rsidR="00104098" w:rsidRPr="00A974C1" w:rsidTr="00777C8C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56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A3FF5" w:rsidRDefault="00777C8C" w:rsidP="0080341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Доска заборная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104098" w:rsidRPr="008A3FF5" w:rsidRDefault="00777C8C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04098" w:rsidRPr="008A3FF5" w:rsidRDefault="00777C8C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bookmarkStart w:id="1" w:name="_GoBack"/>
      <w:bookmarkEnd w:id="1"/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 xml:space="preserve">функциональных характеристиках (потребительских свойствах) товара, размере, упаковке, отгрузке товара </w:t>
      </w:r>
    </w:p>
    <w:p w:rsidR="00777C8C" w:rsidRPr="00777C8C" w:rsidRDefault="00777C8C" w:rsidP="00777C8C">
      <w:pPr>
        <w:jc w:val="center"/>
        <w:rPr>
          <w:b/>
        </w:rPr>
      </w:pPr>
      <w:r>
        <w:rPr>
          <w:b/>
        </w:rPr>
        <w:t>и иные сведения о товаре</w:t>
      </w:r>
    </w:p>
    <w:p w:rsidR="00777C8C" w:rsidRPr="008B3D87" w:rsidRDefault="00777C8C" w:rsidP="001C1B6D">
      <w:pPr>
        <w:rPr>
          <w:sz w:val="20"/>
          <w:szCs w:val="20"/>
        </w:rPr>
      </w:pPr>
    </w:p>
    <w:tbl>
      <w:tblPr>
        <w:tblW w:w="50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140"/>
        <w:gridCol w:w="1694"/>
        <w:gridCol w:w="4625"/>
        <w:gridCol w:w="3650"/>
        <w:gridCol w:w="1759"/>
      </w:tblGrid>
      <w:tr w:rsidR="001C1B6D" w:rsidTr="00D27F40">
        <w:trPr>
          <w:trHeight w:val="6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ind w:left="20"/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Указание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на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оварный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знак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(модель,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производит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ель, страна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происхожде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ния товара)</w:t>
            </w:r>
          </w:p>
        </w:tc>
        <w:tc>
          <w:tcPr>
            <w:tcW w:w="10098" w:type="dxa"/>
            <w:gridSpan w:val="3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1C1B6D" w:rsidTr="00D27F40">
        <w:trPr>
          <w:trHeight w:val="848"/>
        </w:trPr>
        <w:tc>
          <w:tcPr>
            <w:tcW w:w="696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Значение,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w w:val="99"/>
                <w:sz w:val="22"/>
                <w:szCs w:val="22"/>
              </w:rPr>
              <w:t>предлагаемое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участником</w:t>
            </w:r>
          </w:p>
        </w:tc>
      </w:tr>
      <w:tr w:rsidR="001C1B6D" w:rsidTr="00D27F40">
        <w:trPr>
          <w:trHeight w:val="266"/>
        </w:trPr>
        <w:tc>
          <w:tcPr>
            <w:tcW w:w="696" w:type="dxa"/>
            <w:shd w:val="clear" w:color="auto" w:fill="auto"/>
            <w:vAlign w:val="bottom"/>
          </w:tcPr>
          <w:p w:rsidR="001C1B6D" w:rsidRDefault="001C1B6D" w:rsidP="006605E4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4655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3673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D27F40" w:rsidRPr="00866EC9" w:rsidTr="00D27F40">
        <w:trPr>
          <w:trHeight w:val="276"/>
        </w:trPr>
        <w:tc>
          <w:tcPr>
            <w:tcW w:w="696" w:type="dxa"/>
            <w:vMerge w:val="restart"/>
            <w:shd w:val="clear" w:color="auto" w:fill="auto"/>
          </w:tcPr>
          <w:p w:rsidR="00D27F40" w:rsidRPr="001C1B6D" w:rsidRDefault="00D27F40" w:rsidP="00D27F40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D27F40" w:rsidRPr="00D27F40" w:rsidRDefault="00D27F40" w:rsidP="00D27F40">
            <w:pPr>
              <w:jc w:val="center"/>
              <w:rPr>
                <w:bCs/>
              </w:rPr>
            </w:pPr>
            <w:r w:rsidRPr="00D27F40">
              <w:rPr>
                <w:bCs/>
              </w:rPr>
              <w:t>Доска заборная</w:t>
            </w:r>
          </w:p>
          <w:p w:rsidR="00D27F40" w:rsidRPr="00D27F40" w:rsidRDefault="00D27F40" w:rsidP="00D27F40">
            <w:pPr>
              <w:jc w:val="center"/>
              <w:rPr>
                <w:bCs/>
              </w:rPr>
            </w:pPr>
            <w:r w:rsidRPr="00D27F40">
              <w:rPr>
                <w:bCs/>
              </w:rPr>
              <w:t>ОКПД 2 16.21.13.000 - Плиты древесно-стружечные и аналогичные плиты из древесины или других одревесневших материалов</w:t>
            </w:r>
          </w:p>
          <w:p w:rsidR="00D27F40" w:rsidRPr="00777C8C" w:rsidRDefault="00D27F40" w:rsidP="00D27F4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D27F40" w:rsidRPr="00D27F40" w:rsidRDefault="00D27F40" w:rsidP="00D27F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7F40">
              <w:rPr>
                <w:b/>
                <w:bCs/>
                <w:i/>
                <w:sz w:val="20"/>
                <w:szCs w:val="20"/>
              </w:rPr>
      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 Обязательное применение с 01.01.2024)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D27F40" w:rsidRPr="008776A7" w:rsidRDefault="00D27F40" w:rsidP="00D27F40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Материал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древесно-полимерный композит (ДПК)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83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Профиль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>
              <w:t>п</w:t>
            </w:r>
            <w:r w:rsidRPr="00D27F40">
              <w:t>олнотелая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50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52654C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Влагопоглощение, %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≤ 2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71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Рабочая сторона доски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с двух сторон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52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Толщина доски, мм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≥ 12 и ≤ 15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46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Длина доски, мм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[3000]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66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Ширина доски, мм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≥ 140 и ≤ 160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48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Текстура сторон доски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натуральное дерево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569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proofErr w:type="spellStart"/>
            <w:r w:rsidRPr="00D27F40">
              <w:t>Брашинг</w:t>
            </w:r>
            <w:proofErr w:type="spellEnd"/>
            <w:r w:rsidRPr="00D27F40">
              <w:t xml:space="preserve"> сторон доски</w:t>
            </w:r>
          </w:p>
        </w:tc>
        <w:tc>
          <w:tcPr>
            <w:tcW w:w="3673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наличие</w:t>
            </w:r>
          </w:p>
        </w:tc>
        <w:tc>
          <w:tcPr>
            <w:tcW w:w="1770" w:type="dxa"/>
            <w:shd w:val="clear" w:color="auto" w:fill="auto"/>
          </w:tcPr>
          <w:p w:rsidR="00D27F40" w:rsidRPr="005214DE" w:rsidRDefault="00D27F40" w:rsidP="00D27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7F40" w:rsidRPr="00ED00B3" w:rsidTr="00D27F40">
        <w:trPr>
          <w:trHeight w:val="276"/>
        </w:trPr>
        <w:tc>
          <w:tcPr>
            <w:tcW w:w="696" w:type="dxa"/>
            <w:vMerge/>
            <w:shd w:val="clear" w:color="auto" w:fill="auto"/>
            <w:vAlign w:val="bottom"/>
          </w:tcPr>
          <w:p w:rsidR="00D27F40" w:rsidRDefault="00D27F40" w:rsidP="00D27F40"/>
        </w:tc>
        <w:tc>
          <w:tcPr>
            <w:tcW w:w="2154" w:type="dxa"/>
            <w:vMerge/>
            <w:shd w:val="clear" w:color="auto" w:fill="auto"/>
          </w:tcPr>
          <w:p w:rsidR="00D27F40" w:rsidRDefault="00D27F40" w:rsidP="00D27F40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  <w:vAlign w:val="bottom"/>
          </w:tcPr>
          <w:p w:rsidR="00D27F40" w:rsidRPr="008776A7" w:rsidRDefault="00D27F40" w:rsidP="00D27F40">
            <w:pPr>
              <w:rPr>
                <w:bCs/>
              </w:rPr>
            </w:pPr>
          </w:p>
        </w:tc>
        <w:tc>
          <w:tcPr>
            <w:tcW w:w="4655" w:type="dxa"/>
            <w:shd w:val="clear" w:color="auto" w:fill="auto"/>
          </w:tcPr>
          <w:p w:rsidR="00D27F40" w:rsidRPr="00D27F40" w:rsidRDefault="00D27F40" w:rsidP="00D27F40">
            <w:pPr>
              <w:jc w:val="center"/>
            </w:pPr>
            <w:r w:rsidRPr="00D27F40">
              <w:t>Цвет</w:t>
            </w:r>
          </w:p>
        </w:tc>
        <w:tc>
          <w:tcPr>
            <w:tcW w:w="3673" w:type="dxa"/>
            <w:shd w:val="clear" w:color="auto" w:fill="auto"/>
          </w:tcPr>
          <w:p w:rsidR="00D27F40" w:rsidRDefault="00D27F40" w:rsidP="00D27F40">
            <w:pPr>
              <w:jc w:val="center"/>
            </w:pPr>
            <w:r w:rsidRPr="00D27F40">
              <w:t>Серый</w:t>
            </w:r>
          </w:p>
          <w:p w:rsidR="00D27F40" w:rsidRDefault="00D27F40" w:rsidP="00D27F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932697">
                  <wp:extent cx="135255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F40" w:rsidRPr="00D27F40" w:rsidRDefault="00D27F40" w:rsidP="00D27F40">
            <w:pPr>
              <w:jc w:val="center"/>
            </w:pPr>
            <w:r w:rsidRPr="00D27F40">
              <w:t>(изображение является примером и не несет отсылки на производителя)</w:t>
            </w:r>
          </w:p>
        </w:tc>
        <w:tc>
          <w:tcPr>
            <w:tcW w:w="1770" w:type="dxa"/>
            <w:shd w:val="clear" w:color="auto" w:fill="auto"/>
          </w:tcPr>
          <w:p w:rsidR="00D27F40" w:rsidRPr="00A048B5" w:rsidRDefault="00D27F40" w:rsidP="00D27F40">
            <w:pPr>
              <w:rPr>
                <w:b/>
                <w:sz w:val="22"/>
                <w:szCs w:val="22"/>
              </w:rPr>
            </w:pPr>
          </w:p>
        </w:tc>
      </w:tr>
    </w:tbl>
    <w:p w:rsid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C91B44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04098">
      <w:pPr>
        <w:rPr>
          <w:b/>
          <w:lang w:eastAsia="ru-RU"/>
        </w:rPr>
      </w:pPr>
    </w:p>
    <w:p w:rsidR="001C1B6D" w:rsidRPr="001C1B6D" w:rsidRDefault="00D27F40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 xml:space="preserve">Заведующий </w:t>
      </w:r>
      <w:proofErr w:type="spellStart"/>
      <w:r>
        <w:rPr>
          <w:rFonts w:eastAsia="Arial Unicode MS"/>
          <w:bCs/>
          <w:color w:val="000000"/>
          <w:lang w:eastAsia="ar-SA"/>
        </w:rPr>
        <w:t>РеСо</w:t>
      </w:r>
      <w:proofErr w:type="spellEnd"/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 xml:space="preserve">   В.И. </w:t>
      </w:r>
      <w:proofErr w:type="spellStart"/>
      <w:r>
        <w:rPr>
          <w:rFonts w:eastAsia="Arial Unicode MS"/>
          <w:bCs/>
          <w:color w:val="000000"/>
          <w:lang w:eastAsia="ar-SA"/>
        </w:rPr>
        <w:t>Покшин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p w:rsidR="00104098" w:rsidRDefault="00104098" w:rsidP="001C1B6D"/>
    <w:sectPr w:rsidR="00104098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104098"/>
    <w:rsid w:val="001C1B6D"/>
    <w:rsid w:val="00212D39"/>
    <w:rsid w:val="00557794"/>
    <w:rsid w:val="0056580C"/>
    <w:rsid w:val="006A3503"/>
    <w:rsid w:val="006D0922"/>
    <w:rsid w:val="00777C8C"/>
    <w:rsid w:val="008C6EC1"/>
    <w:rsid w:val="00B900D7"/>
    <w:rsid w:val="00BB0C34"/>
    <w:rsid w:val="00D27F40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2023-04-12T08:06:00Z</cp:lastPrinted>
  <dcterms:created xsi:type="dcterms:W3CDTF">2023-03-15T07:52:00Z</dcterms:created>
  <dcterms:modified xsi:type="dcterms:W3CDTF">2023-04-12T08:06:00Z</dcterms:modified>
</cp:coreProperties>
</file>