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D2151A" w:rsidRDefault="00403AA9" w:rsidP="00E133D3">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070F13">
        <w:rPr>
          <w:b/>
          <w:sz w:val="24"/>
          <w:szCs w:val="24"/>
        </w:rPr>
        <w:t>строительных материалов</w:t>
      </w:r>
      <w:r w:rsidR="00545C11">
        <w:rPr>
          <w:b/>
          <w:sz w:val="24"/>
          <w:szCs w:val="24"/>
        </w:rPr>
        <w:t xml:space="preserve"> для нужд </w:t>
      </w:r>
      <w:r w:rsidR="00070F13">
        <w:rPr>
          <w:b/>
          <w:sz w:val="24"/>
          <w:szCs w:val="24"/>
        </w:rPr>
        <w:t xml:space="preserve">текущего ремонта </w:t>
      </w:r>
      <w:r w:rsidR="00545C11">
        <w:rPr>
          <w:b/>
          <w:sz w:val="24"/>
          <w:szCs w:val="24"/>
        </w:rPr>
        <w:t>ИПУ РАН</w:t>
      </w:r>
    </w:p>
    <w:p w:rsidR="00797690" w:rsidRPr="00E133D3" w:rsidRDefault="00797690" w:rsidP="00E133D3">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522518"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E6422F">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E6264">
              <w:rPr>
                <w:sz w:val="24"/>
                <w:szCs w:val="24"/>
              </w:rPr>
              <w:t>00</w:t>
            </w:r>
            <w:r w:rsidR="00E90C1B">
              <w:rPr>
                <w:sz w:val="24"/>
                <w:szCs w:val="24"/>
              </w:rPr>
              <w:t>83</w:t>
            </w:r>
            <w:r>
              <w:rPr>
                <w:sz w:val="24"/>
                <w:szCs w:val="24"/>
              </w:rPr>
              <w:t xml:space="preserve"> </w:t>
            </w:r>
            <w:r w:rsidRPr="00E90C1B">
              <w:rPr>
                <w:sz w:val="24"/>
                <w:szCs w:val="24"/>
              </w:rPr>
              <w:t>00</w:t>
            </w:r>
            <w:r w:rsidR="00E90C1B" w:rsidRPr="00E90C1B">
              <w:rPr>
                <w:sz w:val="24"/>
                <w:szCs w:val="24"/>
              </w:rPr>
              <w:t>1</w:t>
            </w:r>
            <w:r w:rsidRPr="00E90C1B">
              <w:rPr>
                <w:sz w:val="24"/>
                <w:szCs w:val="24"/>
              </w:rPr>
              <w:t xml:space="preserve"> </w:t>
            </w:r>
            <w:r w:rsidR="00E6422F" w:rsidRPr="00E90C1B">
              <w:rPr>
                <w:sz w:val="24"/>
                <w:szCs w:val="24"/>
              </w:rPr>
              <w:t>0000</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E133D3">
        <w:trPr>
          <w:trHeight w:val="647"/>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E133D3">
        <w:trPr>
          <w:trHeight w:val="321"/>
        </w:trPr>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E133D3" w:rsidRPr="00E133D3">
              <w:rPr>
                <w:sz w:val="24"/>
                <w:szCs w:val="24"/>
              </w:rPr>
              <w:t>строительных материалов для нужд текущего ремонта</w:t>
            </w:r>
            <w:r w:rsidR="00E133D3" w:rsidRPr="00E133D3">
              <w:rPr>
                <w:b/>
                <w:sz w:val="24"/>
                <w:szCs w:val="24"/>
              </w:rPr>
              <w:t xml:space="preserve"> </w:t>
            </w:r>
            <w:r w:rsidRPr="00545C11">
              <w:rPr>
                <w:sz w:val="24"/>
                <w:szCs w:val="24"/>
              </w:rPr>
              <w:t>ИПУ РАН</w:t>
            </w:r>
          </w:p>
        </w:tc>
      </w:tr>
      <w:tr w:rsidR="00D2151A" w:rsidRPr="00621123" w:rsidTr="00797690">
        <w:trPr>
          <w:trHeight w:val="2157"/>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797690" w:rsidRPr="00797690" w:rsidRDefault="00061730" w:rsidP="00797690">
            <w:pPr>
              <w:jc w:val="both"/>
              <w:rPr>
                <w:rFonts w:eastAsia="Times New Roman" w:cs="Times New Roman"/>
                <w:i/>
                <w:color w:val="000000"/>
                <w:sz w:val="24"/>
                <w:szCs w:val="24"/>
                <w:lang w:eastAsia="ru-RU"/>
              </w:rPr>
            </w:pPr>
            <w:r>
              <w:rPr>
                <w:rFonts w:eastAsia="Times New Roman" w:cs="Times New Roman"/>
                <w:bCs/>
                <w:sz w:val="24"/>
                <w:szCs w:val="24"/>
                <w:shd w:val="clear" w:color="auto" w:fill="FFFFFF"/>
                <w:lang w:eastAsia="zh-CN"/>
              </w:rPr>
              <w:t xml:space="preserve">ОКПД 2: </w:t>
            </w:r>
            <w:r w:rsidR="00797690" w:rsidRPr="00797690">
              <w:rPr>
                <w:rFonts w:eastAsia="Times New Roman" w:cs="Times New Roman"/>
                <w:sz w:val="24"/>
                <w:szCs w:val="24"/>
                <w:lang w:eastAsia="ru-RU"/>
              </w:rPr>
              <w:t xml:space="preserve">24.10.62.124 - Прокат сортовой горячекатаный полосовой прочий, без дополнительной обработки, включая смотанный после прокатки, из нелегированных сталей </w:t>
            </w:r>
            <w:r w:rsidR="00797690" w:rsidRPr="00797690">
              <w:rPr>
                <w:rFonts w:eastAsia="Times New Roman" w:cs="Times New Roman"/>
                <w:i/>
                <w:sz w:val="24"/>
                <w:szCs w:val="24"/>
                <w:lang w:eastAsia="ru-RU"/>
              </w:rPr>
              <w:t>(КТРУ отсутствует</w:t>
            </w:r>
            <w:r w:rsidR="00797690" w:rsidRPr="00797690">
              <w:rPr>
                <w:rFonts w:eastAsia="Times New Roman" w:cs="Times New Roman"/>
                <w:i/>
                <w:color w:val="000000"/>
                <w:sz w:val="24"/>
                <w:szCs w:val="24"/>
                <w:lang w:eastAsia="ru-RU"/>
              </w:rPr>
              <w:t>);</w:t>
            </w:r>
          </w:p>
          <w:p w:rsidR="00797690" w:rsidRPr="00797690" w:rsidRDefault="00797690" w:rsidP="00797690">
            <w:pPr>
              <w:shd w:val="clear" w:color="auto" w:fill="FFFFFF"/>
              <w:spacing w:after="0" w:line="240" w:lineRule="auto"/>
              <w:ind w:left="30" w:right="30"/>
              <w:jc w:val="both"/>
              <w:outlineLvl w:val="2"/>
              <w:rPr>
                <w:rFonts w:eastAsia="Times New Roman" w:cs="Times New Roman"/>
                <w:bCs/>
                <w:i/>
                <w:sz w:val="24"/>
                <w:szCs w:val="24"/>
                <w:lang w:eastAsia="ru-RU"/>
              </w:rPr>
            </w:pPr>
            <w:r w:rsidRPr="00797690">
              <w:rPr>
                <w:rFonts w:eastAsia="Times New Roman" w:cs="Times New Roman"/>
                <w:bCs/>
                <w:sz w:val="24"/>
                <w:szCs w:val="24"/>
                <w:lang w:eastAsia="ru-RU"/>
              </w:rPr>
              <w:t xml:space="preserve">24.10.71.111 - Уголки стальные горячекатаные равнополочные из нелегированных сталей </w:t>
            </w:r>
            <w:r w:rsidRPr="00797690">
              <w:rPr>
                <w:rFonts w:eastAsia="Times New Roman" w:cs="Times New Roman"/>
                <w:bCs/>
                <w:i/>
                <w:sz w:val="24"/>
                <w:szCs w:val="24"/>
                <w:lang w:eastAsia="ru-RU"/>
              </w:rPr>
              <w:t xml:space="preserve">(КТРУ </w:t>
            </w:r>
            <w:r w:rsidRPr="00797690">
              <w:rPr>
                <w:rFonts w:eastAsia="Times New Roman" w:cs="Times New Roman"/>
                <w:bCs/>
                <w:i/>
                <w:sz w:val="24"/>
                <w:szCs w:val="24"/>
                <w:lang w:eastAsia="ru-RU"/>
              </w:rPr>
              <w:lastRenderedPageBreak/>
              <w:t>24.10.71.110-00000019 Уголок стальной);</w:t>
            </w:r>
          </w:p>
          <w:p w:rsidR="00797690" w:rsidRPr="00797690" w:rsidRDefault="00797690" w:rsidP="00797690">
            <w:pPr>
              <w:shd w:val="clear" w:color="auto" w:fill="FFFFFF"/>
              <w:spacing w:after="0" w:line="240" w:lineRule="auto"/>
              <w:ind w:right="30"/>
              <w:jc w:val="both"/>
              <w:outlineLvl w:val="2"/>
              <w:rPr>
                <w:rFonts w:eastAsia="Times New Roman" w:cs="Times New Roman"/>
                <w:bCs/>
                <w:sz w:val="24"/>
                <w:szCs w:val="24"/>
                <w:lang w:eastAsia="ru-RU"/>
              </w:rPr>
            </w:pPr>
            <w:r w:rsidRPr="00797690">
              <w:rPr>
                <w:rFonts w:eastAsia="Times New Roman" w:cs="Times New Roman"/>
                <w:bCs/>
                <w:sz w:val="24"/>
                <w:szCs w:val="24"/>
                <w:lang w:eastAsia="ru-RU"/>
              </w:rPr>
              <w:t xml:space="preserve">24.20.14.110 - Трубы некруглого сечения стальные </w:t>
            </w:r>
            <w:r w:rsidRPr="00797690">
              <w:rPr>
                <w:rFonts w:eastAsia="Times New Roman" w:cs="Times New Roman"/>
                <w:bCs/>
                <w:i/>
                <w:sz w:val="24"/>
                <w:szCs w:val="24"/>
                <w:lang w:eastAsia="ru-RU"/>
              </w:rPr>
              <w:t>(КТРУ 24.20.14.110-00000026 Труба профильная стальная)</w:t>
            </w:r>
            <w:r w:rsidRPr="00797690">
              <w:rPr>
                <w:rFonts w:eastAsia="Times New Roman" w:cs="Times New Roman"/>
                <w:bCs/>
                <w:sz w:val="24"/>
                <w:szCs w:val="24"/>
                <w:lang w:eastAsia="ru-RU"/>
              </w:rPr>
              <w:t>;</w:t>
            </w:r>
          </w:p>
          <w:p w:rsidR="009C404D" w:rsidRPr="00797690" w:rsidRDefault="00797690" w:rsidP="00797690">
            <w:pPr>
              <w:shd w:val="clear" w:color="auto" w:fill="FFFFFF"/>
              <w:spacing w:after="0" w:line="240" w:lineRule="auto"/>
              <w:ind w:right="30"/>
              <w:jc w:val="both"/>
              <w:outlineLvl w:val="2"/>
              <w:rPr>
                <w:rFonts w:eastAsia="Times New Roman" w:cs="Times New Roman"/>
                <w:bCs/>
                <w:i/>
                <w:sz w:val="24"/>
                <w:szCs w:val="24"/>
                <w:lang w:eastAsia="ru-RU"/>
              </w:rPr>
            </w:pPr>
            <w:r w:rsidRPr="00797690">
              <w:rPr>
                <w:rFonts w:eastAsia="Times New Roman" w:cs="Times New Roman"/>
                <w:bCs/>
                <w:sz w:val="24"/>
                <w:szCs w:val="24"/>
                <w:lang w:eastAsia="ru-RU"/>
              </w:rPr>
              <w:t xml:space="preserve">24.20.14.110 - Трубы некруглого сечения стальные </w:t>
            </w:r>
            <w:r w:rsidRPr="00797690">
              <w:rPr>
                <w:rFonts w:eastAsia="Times New Roman" w:cs="Times New Roman"/>
                <w:bCs/>
                <w:i/>
                <w:sz w:val="24"/>
                <w:szCs w:val="24"/>
                <w:lang w:eastAsia="ru-RU"/>
              </w:rPr>
              <w:t>(КТРУ 24.20.14.110-00000028 Труба профильная стальная).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797690" w:rsidRDefault="00797690" w:rsidP="00545C11">
            <w:pPr>
              <w:pStyle w:val="ConsPlusNormal"/>
              <w:rPr>
                <w:sz w:val="24"/>
                <w:szCs w:val="24"/>
              </w:rPr>
            </w:pPr>
            <w:r w:rsidRPr="00797690">
              <w:rPr>
                <w:sz w:val="24"/>
                <w:szCs w:val="24"/>
              </w:rPr>
              <w:t xml:space="preserve">Уголок стальной </w:t>
            </w:r>
            <w:bookmarkStart w:id="0" w:name="_GoBack"/>
            <w:bookmarkEnd w:id="0"/>
            <w:r w:rsidRPr="00797690">
              <w:rPr>
                <w:sz w:val="24"/>
                <w:szCs w:val="24"/>
              </w:rPr>
              <w:t>-</w:t>
            </w:r>
            <w:r>
              <w:rPr>
                <w:b/>
                <w:sz w:val="24"/>
                <w:szCs w:val="24"/>
              </w:rPr>
              <w:t xml:space="preserve"> </w:t>
            </w:r>
            <w:r w:rsidRPr="00797690">
              <w:rPr>
                <w:sz w:val="24"/>
                <w:szCs w:val="24"/>
              </w:rPr>
              <w:t>0,7 т</w:t>
            </w:r>
            <w:r>
              <w:rPr>
                <w:sz w:val="24"/>
                <w:szCs w:val="24"/>
              </w:rPr>
              <w:t>;</w:t>
            </w:r>
          </w:p>
          <w:p w:rsidR="00797690" w:rsidRPr="00797690" w:rsidRDefault="00797690" w:rsidP="00797690">
            <w:pPr>
              <w:pStyle w:val="ConsPlusNormal"/>
              <w:rPr>
                <w:sz w:val="24"/>
                <w:szCs w:val="24"/>
              </w:rPr>
            </w:pPr>
            <w:r w:rsidRPr="00797690">
              <w:rPr>
                <w:sz w:val="24"/>
                <w:szCs w:val="24"/>
              </w:rPr>
              <w:t>Труба профильная стальная, тип 1</w:t>
            </w:r>
            <w:r>
              <w:rPr>
                <w:sz w:val="24"/>
                <w:szCs w:val="24"/>
              </w:rPr>
              <w:t xml:space="preserve"> - 0,2 т;</w:t>
            </w:r>
          </w:p>
          <w:p w:rsidR="00797690" w:rsidRPr="00797690" w:rsidRDefault="00797690" w:rsidP="00797690">
            <w:pPr>
              <w:pStyle w:val="ConsPlusNormal"/>
              <w:rPr>
                <w:sz w:val="24"/>
                <w:szCs w:val="24"/>
              </w:rPr>
            </w:pPr>
            <w:r w:rsidRPr="00797690">
              <w:rPr>
                <w:sz w:val="24"/>
                <w:szCs w:val="24"/>
              </w:rPr>
              <w:t>Труба профильная стальная, тип 2</w:t>
            </w:r>
            <w:r>
              <w:rPr>
                <w:sz w:val="24"/>
                <w:szCs w:val="24"/>
              </w:rPr>
              <w:t xml:space="preserve"> - 0,6 т;</w:t>
            </w:r>
          </w:p>
          <w:p w:rsidR="00797690" w:rsidRPr="00797690" w:rsidRDefault="00797690" w:rsidP="00797690">
            <w:pPr>
              <w:pStyle w:val="ConsPlusNormal"/>
              <w:rPr>
                <w:sz w:val="24"/>
                <w:szCs w:val="24"/>
              </w:rPr>
            </w:pPr>
            <w:r w:rsidRPr="00797690">
              <w:rPr>
                <w:sz w:val="24"/>
                <w:szCs w:val="24"/>
              </w:rPr>
              <w:t>Труба профильная стальная, тип 3</w:t>
            </w:r>
            <w:r>
              <w:rPr>
                <w:sz w:val="24"/>
                <w:szCs w:val="24"/>
              </w:rPr>
              <w:t xml:space="preserve"> – 0,2 т;</w:t>
            </w:r>
          </w:p>
          <w:p w:rsidR="00797690" w:rsidRDefault="00797690" w:rsidP="00797690">
            <w:pPr>
              <w:pStyle w:val="ConsPlusNormal"/>
              <w:rPr>
                <w:b/>
                <w:sz w:val="24"/>
                <w:szCs w:val="24"/>
              </w:rPr>
            </w:pPr>
            <w:r w:rsidRPr="00797690">
              <w:rPr>
                <w:sz w:val="24"/>
                <w:szCs w:val="24"/>
              </w:rPr>
              <w:t>Полоса стальная горячекатаная</w:t>
            </w:r>
            <w:r>
              <w:rPr>
                <w:sz w:val="24"/>
                <w:szCs w:val="24"/>
              </w:rPr>
              <w:t xml:space="preserve"> – 0,12 т.</w:t>
            </w: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E90C1B">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DB05F7">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E90C1B">
              <w:rPr>
                <w:sz w:val="24"/>
                <w:szCs w:val="24"/>
              </w:rPr>
              <w:t xml:space="preserve">по </w:t>
            </w:r>
            <w:r w:rsidR="00E90C1B" w:rsidRPr="00E90C1B">
              <w:rPr>
                <w:sz w:val="24"/>
                <w:szCs w:val="24"/>
              </w:rPr>
              <w:t>«31</w:t>
            </w:r>
            <w:r w:rsidR="005730A4" w:rsidRPr="00E90C1B">
              <w:rPr>
                <w:sz w:val="24"/>
                <w:szCs w:val="24"/>
              </w:rPr>
              <w:t>»</w:t>
            </w:r>
            <w:r w:rsidR="009370FB" w:rsidRPr="00E90C1B">
              <w:rPr>
                <w:sz w:val="24"/>
                <w:szCs w:val="24"/>
              </w:rPr>
              <w:t xml:space="preserve"> </w:t>
            </w:r>
            <w:r w:rsidR="00E90C1B" w:rsidRPr="00E90C1B">
              <w:rPr>
                <w:sz w:val="24"/>
                <w:szCs w:val="24"/>
              </w:rPr>
              <w:t>августа</w:t>
            </w:r>
            <w:r w:rsidR="009370FB" w:rsidRPr="00E90C1B">
              <w:rPr>
                <w:sz w:val="24"/>
                <w:szCs w:val="24"/>
              </w:rPr>
              <w:t xml:space="preserve"> 2023 </w:t>
            </w:r>
            <w:r w:rsidR="000A6DAD" w:rsidRPr="00E90C1B">
              <w:rPr>
                <w:sz w:val="24"/>
                <w:szCs w:val="24"/>
              </w:rPr>
              <w:t>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AA0355" w:rsidP="00AA0355">
            <w:pPr>
              <w:pStyle w:val="ConsPlusNormal"/>
              <w:jc w:val="both"/>
              <w:rPr>
                <w:sz w:val="24"/>
                <w:szCs w:val="24"/>
              </w:rPr>
            </w:pPr>
            <w:r>
              <w:rPr>
                <w:b/>
                <w:bCs/>
                <w:sz w:val="24"/>
                <w:szCs w:val="24"/>
              </w:rPr>
              <w:t>149 455</w:t>
            </w:r>
            <w:r w:rsidR="00E6422F" w:rsidRPr="00E6422F">
              <w:rPr>
                <w:b/>
                <w:bCs/>
                <w:sz w:val="24"/>
                <w:szCs w:val="24"/>
              </w:rPr>
              <w:t xml:space="preserve"> </w:t>
            </w:r>
            <w:r w:rsidR="00E6422F">
              <w:rPr>
                <w:bCs/>
                <w:sz w:val="24"/>
                <w:szCs w:val="24"/>
              </w:rPr>
              <w:t>(</w:t>
            </w:r>
            <w:r>
              <w:rPr>
                <w:bCs/>
                <w:sz w:val="24"/>
                <w:szCs w:val="24"/>
              </w:rPr>
              <w:t xml:space="preserve">Сто сорок девять тысяч четыреста </w:t>
            </w:r>
            <w:proofErr w:type="gramStart"/>
            <w:r>
              <w:rPr>
                <w:bCs/>
                <w:sz w:val="24"/>
                <w:szCs w:val="24"/>
              </w:rPr>
              <w:t>пятьдесят  пять</w:t>
            </w:r>
            <w:proofErr w:type="gramEnd"/>
            <w:r>
              <w:rPr>
                <w:bCs/>
                <w:sz w:val="24"/>
                <w:szCs w:val="24"/>
              </w:rPr>
              <w:t>) рублей</w:t>
            </w:r>
            <w:r>
              <w:rPr>
                <w:b/>
                <w:bCs/>
                <w:sz w:val="24"/>
                <w:szCs w:val="24"/>
              </w:rPr>
              <w:t xml:space="preserve"> 07</w:t>
            </w:r>
            <w:r w:rsidR="00E6422F" w:rsidRPr="00E6422F">
              <w:rPr>
                <w:b/>
                <w:bCs/>
                <w:sz w:val="24"/>
                <w:szCs w:val="24"/>
              </w:rPr>
              <w:t xml:space="preserve"> копеек, </w:t>
            </w:r>
            <w:r w:rsidR="00E6422F" w:rsidRPr="00E6422F">
              <w:rPr>
                <w:bCs/>
                <w:sz w:val="24"/>
                <w:szCs w:val="24"/>
              </w:rPr>
              <w:t>с учетом НДС 20 %</w:t>
            </w:r>
            <w:r>
              <w:rPr>
                <w:bCs/>
                <w:sz w:val="24"/>
                <w:szCs w:val="24"/>
              </w:rPr>
              <w:t xml:space="preserve"> - 24 909,18</w:t>
            </w:r>
            <w:r w:rsidR="00E6422F" w:rsidRPr="00E6422F">
              <w:rPr>
                <w:bCs/>
                <w:sz w:val="24"/>
                <w:szCs w:val="24"/>
              </w:rPr>
              <w:t xml:space="preserve"> рублей</w:t>
            </w:r>
            <w:r w:rsidR="00E6422F">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Pr="00224402" w:rsidRDefault="00224402" w:rsidP="00EA6B31">
            <w:pPr>
              <w:pStyle w:val="ConsPlusNormal"/>
              <w:rPr>
                <w:b/>
                <w:i/>
                <w:sz w:val="24"/>
                <w:szCs w:val="24"/>
                <w:u w:val="single"/>
              </w:rPr>
            </w:pPr>
            <w:r w:rsidRPr="00224402">
              <w:rPr>
                <w:b/>
                <w:i/>
                <w:sz w:val="24"/>
                <w:szCs w:val="24"/>
                <w:u w:val="single"/>
              </w:rPr>
              <w:t>У</w:t>
            </w:r>
            <w:r w:rsidR="004659E8" w:rsidRPr="00224402">
              <w:rPr>
                <w:b/>
                <w:i/>
                <w:sz w:val="24"/>
                <w:szCs w:val="24"/>
                <w:u w:val="single"/>
              </w:rPr>
              <w:t>становлено</w:t>
            </w:r>
            <w:r w:rsidR="000A6DAD" w:rsidRPr="00224402">
              <w:rPr>
                <w:b/>
                <w:i/>
                <w:sz w:val="24"/>
                <w:szCs w:val="24"/>
                <w:u w:val="single"/>
              </w:rPr>
              <w:t>:</w:t>
            </w: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D2151A" w:rsidRPr="00621123" w:rsidRDefault="00AA0355" w:rsidP="001573B0">
            <w:pPr>
              <w:pStyle w:val="ConsPlusNormal"/>
              <w:jc w:val="both"/>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E6422F">
              <w:rPr>
                <w:i/>
                <w:sz w:val="24"/>
                <w:szCs w:val="24"/>
              </w:rPr>
              <w:t>строительных материалов</w:t>
            </w:r>
            <w:r w:rsidR="00137D66" w:rsidRPr="00137D66">
              <w:rPr>
                <w:i/>
                <w:sz w:val="24"/>
                <w:szCs w:val="24"/>
              </w:rPr>
              <w:t xml:space="preserve"> </w:t>
            </w:r>
            <w:r w:rsidR="00E04F35">
              <w:rPr>
                <w:i/>
                <w:sz w:val="24"/>
                <w:szCs w:val="24"/>
              </w:rPr>
              <w:t>для нужд</w:t>
            </w:r>
            <w:r w:rsidR="00E6422F">
              <w:rPr>
                <w:i/>
                <w:sz w:val="24"/>
                <w:szCs w:val="24"/>
              </w:rPr>
              <w:t xml:space="preserve"> текущего ремонта</w:t>
            </w:r>
            <w:r w:rsidR="00E04F35">
              <w:rPr>
                <w:i/>
                <w:sz w:val="24"/>
                <w:szCs w:val="24"/>
              </w:rPr>
              <w:t xml:space="preserve"> ИПУ РАН.</w:t>
            </w: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AA0355" w:rsidRDefault="00004F46" w:rsidP="00004F46">
            <w:pPr>
              <w:pStyle w:val="ConsPlusNormal"/>
              <w:jc w:val="both"/>
              <w:rPr>
                <w:sz w:val="24"/>
                <w:szCs w:val="24"/>
              </w:rPr>
            </w:pPr>
            <w:r w:rsidRPr="00AA0355">
              <w:rPr>
                <w:sz w:val="24"/>
                <w:szCs w:val="24"/>
              </w:rPr>
              <w:t>Обеспечение гарантийных обязательств</w:t>
            </w:r>
            <w:r w:rsidRPr="00E04F35">
              <w:rPr>
                <w:sz w:val="24"/>
                <w:szCs w:val="24"/>
              </w:rPr>
              <w:t xml:space="preserve"> </w:t>
            </w:r>
            <w:r w:rsidR="00AA0355">
              <w:rPr>
                <w:sz w:val="24"/>
                <w:szCs w:val="24"/>
              </w:rPr>
              <w:t>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00F04309">
              <w:rPr>
                <w:b/>
                <w:sz w:val="24"/>
                <w:szCs w:val="24"/>
              </w:rPr>
              <w:t xml:space="preserve"> 2023</w:t>
            </w:r>
            <w:r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F04309">
              <w:rPr>
                <w:b/>
                <w:sz w:val="24"/>
                <w:szCs w:val="24"/>
              </w:rPr>
              <w:t>3</w:t>
            </w:r>
            <w:r w:rsidR="009452F7" w:rsidRPr="00036E09">
              <w:rPr>
                <w:b/>
                <w:sz w:val="24"/>
                <w:szCs w:val="24"/>
              </w:rPr>
              <w:t xml:space="preserve">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543B8D" w:rsidP="00923AF5">
      <w:pPr>
        <w:spacing w:after="0"/>
        <w:jc w:val="both"/>
        <w:rPr>
          <w:sz w:val="20"/>
          <w:szCs w:val="20"/>
        </w:rPr>
      </w:pPr>
      <w:r>
        <w:rPr>
          <w:sz w:val="20"/>
          <w:szCs w:val="20"/>
        </w:rPr>
        <w:t>Старший</w:t>
      </w:r>
      <w:r w:rsidR="00923AF5" w:rsidRPr="00F04309">
        <w:rPr>
          <w:sz w:val="20"/>
          <w:szCs w:val="20"/>
        </w:rPr>
        <w:t xml:space="preserve"> специалист контрактного отдела</w:t>
      </w:r>
    </w:p>
    <w:p w:rsidR="00923AF5" w:rsidRPr="00F04309" w:rsidRDefault="00543B8D" w:rsidP="00923AF5">
      <w:pPr>
        <w:spacing w:after="0"/>
        <w:jc w:val="both"/>
        <w:rPr>
          <w:sz w:val="20"/>
          <w:szCs w:val="20"/>
        </w:rPr>
      </w:pPr>
      <w:r>
        <w:rPr>
          <w:sz w:val="20"/>
          <w:szCs w:val="20"/>
        </w:rPr>
        <w:t>Е.С</w:t>
      </w:r>
      <w:r w:rsidR="00F04309" w:rsidRPr="00F04309">
        <w:rPr>
          <w:sz w:val="20"/>
          <w:szCs w:val="20"/>
        </w:rPr>
        <w:t xml:space="preserve">.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доб.1653</w:t>
      </w:r>
    </w:p>
    <w:sectPr w:rsidR="00923AF5" w:rsidRPr="00F04309" w:rsidSect="00CC349E">
      <w:footerReference w:type="default" r:id="rId27"/>
      <w:pgSz w:w="11906" w:h="16838"/>
      <w:pgMar w:top="567"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522518">
          <w:rPr>
            <w:noProof/>
            <w:sz w:val="20"/>
            <w:szCs w:val="20"/>
          </w:rPr>
          <w:t>6</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4F46"/>
    <w:rsid w:val="00012A3A"/>
    <w:rsid w:val="000334D1"/>
    <w:rsid w:val="00036E09"/>
    <w:rsid w:val="00041901"/>
    <w:rsid w:val="000451EF"/>
    <w:rsid w:val="00061730"/>
    <w:rsid w:val="00070873"/>
    <w:rsid w:val="00070F13"/>
    <w:rsid w:val="000954C3"/>
    <w:rsid w:val="000A6DAD"/>
    <w:rsid w:val="000B0541"/>
    <w:rsid w:val="000B6819"/>
    <w:rsid w:val="000D7EA3"/>
    <w:rsid w:val="000E39DF"/>
    <w:rsid w:val="000E6264"/>
    <w:rsid w:val="0010152C"/>
    <w:rsid w:val="00103E13"/>
    <w:rsid w:val="00114560"/>
    <w:rsid w:val="00121ED9"/>
    <w:rsid w:val="00137D66"/>
    <w:rsid w:val="0014230D"/>
    <w:rsid w:val="00147433"/>
    <w:rsid w:val="001511A4"/>
    <w:rsid w:val="001573B0"/>
    <w:rsid w:val="0016061C"/>
    <w:rsid w:val="0016627A"/>
    <w:rsid w:val="00166F57"/>
    <w:rsid w:val="00192D96"/>
    <w:rsid w:val="001A7C0F"/>
    <w:rsid w:val="001C6FEE"/>
    <w:rsid w:val="002003F1"/>
    <w:rsid w:val="002136DD"/>
    <w:rsid w:val="00224402"/>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D5B96"/>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251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690"/>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061B8"/>
    <w:rsid w:val="00A13319"/>
    <w:rsid w:val="00A36C69"/>
    <w:rsid w:val="00A56968"/>
    <w:rsid w:val="00A61910"/>
    <w:rsid w:val="00A63F55"/>
    <w:rsid w:val="00AA0355"/>
    <w:rsid w:val="00AA0969"/>
    <w:rsid w:val="00AA6E34"/>
    <w:rsid w:val="00AB06B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49E"/>
    <w:rsid w:val="00CC3DF1"/>
    <w:rsid w:val="00CC40A8"/>
    <w:rsid w:val="00CD6FD8"/>
    <w:rsid w:val="00CD7A15"/>
    <w:rsid w:val="00CF3B61"/>
    <w:rsid w:val="00D16C37"/>
    <w:rsid w:val="00D2151A"/>
    <w:rsid w:val="00D57F14"/>
    <w:rsid w:val="00D7101B"/>
    <w:rsid w:val="00D80998"/>
    <w:rsid w:val="00D95374"/>
    <w:rsid w:val="00DA13D7"/>
    <w:rsid w:val="00DB05F7"/>
    <w:rsid w:val="00DB0DC6"/>
    <w:rsid w:val="00DD212D"/>
    <w:rsid w:val="00DD3572"/>
    <w:rsid w:val="00DE108D"/>
    <w:rsid w:val="00DE4098"/>
    <w:rsid w:val="00E04F35"/>
    <w:rsid w:val="00E133D3"/>
    <w:rsid w:val="00E3396B"/>
    <w:rsid w:val="00E46724"/>
    <w:rsid w:val="00E47492"/>
    <w:rsid w:val="00E63A04"/>
    <w:rsid w:val="00E6422F"/>
    <w:rsid w:val="00E67396"/>
    <w:rsid w:val="00E90C1B"/>
    <w:rsid w:val="00E95912"/>
    <w:rsid w:val="00EA5440"/>
    <w:rsid w:val="00EA6B31"/>
    <w:rsid w:val="00EC798E"/>
    <w:rsid w:val="00ED264A"/>
    <w:rsid w:val="00F018E4"/>
    <w:rsid w:val="00F04309"/>
    <w:rsid w:val="00F1792C"/>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7C4A-AAA1-4FDB-8578-C4B4B1A8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24</cp:revision>
  <cp:lastPrinted>2023-05-02T10:17:00Z</cp:lastPrinted>
  <dcterms:created xsi:type="dcterms:W3CDTF">2022-05-19T13:32:00Z</dcterms:created>
  <dcterms:modified xsi:type="dcterms:W3CDTF">2023-05-02T10:18:00Z</dcterms:modified>
</cp:coreProperties>
</file>