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AA" w:rsidRDefault="0021650D" w:rsidP="0021650D">
      <w:pPr>
        <w:jc w:val="right"/>
        <w:rPr>
          <w:b/>
          <w:sz w:val="24"/>
          <w:szCs w:val="24"/>
        </w:rPr>
      </w:pPr>
      <w:r w:rsidRPr="0021650D">
        <w:rPr>
          <w:b/>
          <w:sz w:val="24"/>
          <w:szCs w:val="24"/>
        </w:rPr>
        <w:t>Приложение № 1</w:t>
      </w:r>
    </w:p>
    <w:p w:rsidR="0021650D" w:rsidRPr="0021650D" w:rsidRDefault="0021650D" w:rsidP="0021650D">
      <w:pPr>
        <w:suppressAutoHyphens/>
        <w:overflowPunct w:val="0"/>
        <w:spacing w:after="0" w:line="240" w:lineRule="auto"/>
        <w:jc w:val="center"/>
        <w:rPr>
          <w:rFonts w:eastAsia="Calibri"/>
          <w:b/>
          <w:kern w:val="2"/>
          <w:sz w:val="24"/>
          <w:szCs w:val="24"/>
          <w:lang w:eastAsia="ar-SA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ar-SA" w:bidi="hi-IN"/>
        </w:rPr>
        <w:t>ТЕХНИЧЕСКОЕ ЗАДАНИЕ</w:t>
      </w:r>
    </w:p>
    <w:p w:rsidR="0021650D" w:rsidRPr="0021650D" w:rsidRDefault="0021650D" w:rsidP="0021650D">
      <w:pPr>
        <w:overflowPunct w:val="0"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kern w:val="2"/>
          <w:sz w:val="24"/>
          <w:szCs w:val="24"/>
          <w:lang w:eastAsia="zh-CN" w:bidi="hi-IN"/>
        </w:rPr>
        <w:t xml:space="preserve">на поставку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холодильного оборудования для отдела питания ИПУ РАН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.</w:t>
      </w:r>
    </w:p>
    <w:p w:rsidR="0021650D" w:rsidRPr="0021650D" w:rsidRDefault="0021650D" w:rsidP="0021650D">
      <w:pPr>
        <w:overflowPunct w:val="0"/>
        <w:spacing w:after="0" w:line="240" w:lineRule="auto"/>
        <w:jc w:val="center"/>
        <w:rPr>
          <w:rFonts w:eastAsia="Calibri"/>
          <w:kern w:val="2"/>
          <w:sz w:val="24"/>
          <w:szCs w:val="24"/>
          <w:lang w:eastAsia="zh-CN" w:bidi="hi-IN"/>
        </w:rPr>
      </w:pP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b/>
          <w:color w:val="FF0000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1.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Объект закупки: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поставка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холодильного оборудования для отдела питания ИПУ РАН (далее - Товар).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2. Краткие характеристики поставляемого Товара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: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в соответствии с Приложением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              </w:t>
      </w:r>
      <w:r>
        <w:rPr>
          <w:rFonts w:eastAsia="Times New Roman" w:hint="eastAsia"/>
          <w:kern w:val="2"/>
          <w:sz w:val="24"/>
          <w:szCs w:val="24"/>
          <w:lang w:eastAsia="ru-RU" w:bidi="hi-IN"/>
        </w:rPr>
        <w:t>к Техническому заданию -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kern w:val="2"/>
          <w:sz w:val="24"/>
          <w:szCs w:val="24"/>
          <w:lang w:eastAsia="ru-RU" w:bidi="hi-IN"/>
        </w:rPr>
        <w:t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к Техническому заданию.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ОКПД 2: </w:t>
      </w:r>
      <w:r w:rsidRPr="0021650D">
        <w:rPr>
          <w:rFonts w:eastAsia="Times New Roman" w:hint="eastAsia"/>
          <w:bCs/>
          <w:kern w:val="2"/>
          <w:sz w:val="24"/>
          <w:szCs w:val="24"/>
          <w:lang w:eastAsia="ru-RU" w:bidi="hi-IN"/>
        </w:rPr>
        <w:t>28.25.13.112 - Камеры холодильные сборные</w:t>
      </w: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;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ru-RU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ru-RU" w:bidi="hi-IN"/>
        </w:rPr>
        <w:t>28.25.12.110 - Кондиционеры промышленные</w:t>
      </w:r>
      <w:r w:rsidRPr="0021650D">
        <w:rPr>
          <w:rFonts w:eastAsia="Times New Roman"/>
          <w:bCs/>
          <w:kern w:val="2"/>
          <w:sz w:val="24"/>
          <w:szCs w:val="24"/>
          <w:lang w:eastAsia="ru-RU" w:bidi="hi-IN"/>
        </w:rPr>
        <w:t>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3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. 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Перечень и количество поставляемого Товара: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общее количество поставляемого Товара по 2 (двум) номенклатурной позиции</w:t>
      </w:r>
      <w:r>
        <w:rPr>
          <w:rFonts w:eastAsia="Times New Roman"/>
          <w:kern w:val="2"/>
          <w:sz w:val="24"/>
          <w:szCs w:val="24"/>
          <w:lang w:eastAsia="ru-RU" w:bidi="hi-IN"/>
        </w:rPr>
        <w:t xml:space="preserve"> -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2 (две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) штуки, в соответствии с Приложением                                       к Договору «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Спецификация на поставку холодильного оборудования для отдела питания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 xml:space="preserve">                                              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>ИПУ РАН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», являющимся его неотъемлемой его частью.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b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ar-SA" w:bidi="hi-IN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ab/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Поставляемый Товар должен быть новым, изготовленным в соответствии со стандартами качества (не бывший в употреблении, в ремонте, в том числе, который не был </w:t>
      </w:r>
      <w:proofErr w:type="gramStart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восстановлен, 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 </w:t>
      </w:r>
      <w:proofErr w:type="gramEnd"/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                        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у которого не была осуществлена замена составных частей, не были восстановлены потребительские свойства).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Весь Товар должен быть работоспособен и иметь комплектацию, указанную в Приложении          к Техническому заданию.</w:t>
      </w:r>
      <w:r w:rsidRPr="0021650D"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  <w:t xml:space="preserve">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/>
          <w:bCs/>
          <w:kern w:val="2"/>
          <w:sz w:val="24"/>
          <w:szCs w:val="24"/>
          <w:lang w:eastAsia="ar-SA" w:bidi="hi-IN"/>
        </w:rPr>
        <w:t>Весь товар, подключаемый к сети электропитания должен комплектоваться силовыми кабелями, иметь силовую вилку стандарта СЕЕ 7/4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в соответствии с ГОСТ 7396.1-89 (МЭК 83-75) «Межгосударственный стандарт. Соединители электрические штепсельные бытового и аналогичного назначения. Основные размеры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».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/>
          <w:bCs/>
          <w:kern w:val="2"/>
          <w:sz w:val="24"/>
          <w:szCs w:val="24"/>
          <w:lang w:eastAsia="ar-SA" w:bidi="hi-IN"/>
        </w:rPr>
        <w:t xml:space="preserve">Поставщик обязан осуществить сборку, монтаж и настройку Товара (с использованием своего инструмента, со своими комплектующими, расходными материалами и за свой счет) по адресу Заказчика и в согласованное с Заказчиком время.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Выполнение сборки должно осуществляться силами Поставщика или с привлечением третьих лиц за счет Поставщика.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  «</w:t>
      </w:r>
      <w:proofErr w:type="gramEnd"/>
      <w:r w:rsidRPr="0021650D">
        <w:rPr>
          <w:rFonts w:eastAsia="Times New Roman"/>
          <w:kern w:val="2"/>
          <w:sz w:val="24"/>
          <w:szCs w:val="24"/>
          <w:lang w:eastAsia="ar-SA" w:bidi="hi-IN"/>
        </w:rPr>
        <w:t>О безопасности упаковки», ГОСТ 17527-2020 «Упаковка. Термины и определения».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                с учетом условий Контракта.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Поставщик несет полную ответственность за надлежащее качество поставляемого Товара.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</w:t>
      </w:r>
      <w:r w:rsidR="008A37EC">
        <w:rPr>
          <w:rFonts w:eastAsia="Times New Roman"/>
          <w:kern w:val="2"/>
          <w:sz w:val="24"/>
          <w:szCs w:val="24"/>
          <w:lang w:eastAsia="ar-SA" w:bidi="hi-IN"/>
        </w:rPr>
        <w:t>подписания Документа о приемке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Паспорта на изделия.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: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           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Постановлению Правительства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Российской Федерации 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 xml:space="preserve">от 23 декабря 2021 г. № 2425 </w:t>
      </w:r>
      <w:r w:rsidR="00F8573E">
        <w:rPr>
          <w:rFonts w:eastAsia="Times New Roman"/>
          <w:kern w:val="2"/>
          <w:sz w:val="24"/>
          <w:szCs w:val="24"/>
          <w:lang w:eastAsia="ar-SA" w:bidi="hi-IN"/>
        </w:rPr>
        <w:br/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«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 xml:space="preserve"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Pr="0021650D">
        <w:rPr>
          <w:rFonts w:eastAsia="Times New Roman" w:hint="cs"/>
          <w:kern w:val="2"/>
          <w:sz w:val="24"/>
          <w:szCs w:val="24"/>
          <w:cs/>
          <w:lang w:eastAsia="ar-SA" w:bidi="hi-IN"/>
        </w:rPr>
        <w:t>№</w:t>
      </w:r>
      <w:r w:rsidRPr="0021650D">
        <w:rPr>
          <w:rFonts w:eastAsia="Times New Roman" w:cs="Mangal" w:hint="cs"/>
          <w:kern w:val="2"/>
          <w:sz w:val="24"/>
          <w:szCs w:val="24"/>
          <w:cs/>
          <w:lang w:eastAsia="ar-SA" w:bidi="hi-IN"/>
        </w:rPr>
        <w:t xml:space="preserve"> </w:t>
      </w:r>
      <w:r w:rsidRPr="0021650D">
        <w:rPr>
          <w:rFonts w:eastAsia="Times New Roman" w:hint="eastAsia"/>
          <w:kern w:val="2"/>
          <w:sz w:val="24"/>
          <w:szCs w:val="24"/>
          <w:lang w:eastAsia="ar-SA" w:bidi="hi-IN"/>
        </w:rPr>
        <w:t>2467 и признании утратившими силу некоторых актов Правительства Российской Федерации</w:t>
      </w:r>
      <w:r w:rsidRPr="0021650D">
        <w:rPr>
          <w:rFonts w:eastAsia="Times New Roman"/>
          <w:kern w:val="2"/>
          <w:sz w:val="24"/>
          <w:szCs w:val="24"/>
          <w:lang w:eastAsia="ar-SA" w:bidi="hi-IN"/>
        </w:rPr>
        <w:t>» (если законодательством Российской Федерации установлены обязательные требования к серт</w:t>
      </w:r>
      <w:r>
        <w:rPr>
          <w:rFonts w:eastAsia="Times New Roman"/>
          <w:kern w:val="2"/>
          <w:sz w:val="24"/>
          <w:szCs w:val="24"/>
          <w:lang w:eastAsia="ar-SA" w:bidi="hi-IN"/>
        </w:rPr>
        <w:t>ификации и декларированию данного вида продукта)</w:t>
      </w:r>
      <w:r w:rsidRPr="0021650D">
        <w:rPr>
          <w:rFonts w:eastAsia="Times New Roman"/>
          <w:sz w:val="24"/>
          <w:szCs w:val="24"/>
          <w:shd w:val="clear" w:color="auto" w:fill="FFFFFF"/>
          <w:lang w:eastAsia="ru-RU"/>
        </w:rPr>
        <w:t>;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Постановлению Правительства </w:t>
      </w:r>
      <w:r w:rsidR="00F8573E" w:rsidRPr="00F8573E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Российской Федерации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от 31 декабря 2009 г. № 1222 </w:t>
      </w:r>
      <w:r w:rsidR="00F8573E">
        <w:rPr>
          <w:rFonts w:eastAsia="Times New Roman"/>
          <w:bCs/>
          <w:kern w:val="2"/>
          <w:sz w:val="24"/>
          <w:szCs w:val="24"/>
          <w:lang w:eastAsia="ar-SA" w:bidi="hi-IN"/>
        </w:rPr>
        <w:br/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23833-95 «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Межгосударственный стандарт.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Оборудование холодильное торговое. Общие технические условия»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;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Р 58541.4-2019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 «Национальный стандарт Российской Федерации.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Кондиционеры, агрегатированные охладители жидкости и тепловые насосы для обогрева и охлаждения помещений, технологические </w:t>
      </w:r>
      <w:proofErr w:type="spellStart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чиллеры</w:t>
      </w:r>
      <w:proofErr w:type="spellEnd"/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 xml:space="preserve"> с компрессорами с электроприводом. Часть 4. Требования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»;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709"/>
        <w:jc w:val="both"/>
        <w:rPr>
          <w:rFonts w:eastAsia="Times New Roman"/>
          <w:bCs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 xml:space="preserve">- </w:t>
      </w:r>
      <w:r w:rsidRPr="0021650D">
        <w:rPr>
          <w:rFonts w:eastAsia="Times New Roman" w:hint="eastAsia"/>
          <w:bCs/>
          <w:kern w:val="2"/>
          <w:sz w:val="24"/>
          <w:szCs w:val="24"/>
          <w:lang w:eastAsia="ar-SA" w:bidi="hi-IN"/>
        </w:rPr>
        <w:t>ГОСТ 7396.1-89 (МЭК 83-75) «Межгосударственный стандарт. Соединители электрические штепсельные бытового и аналогичного назначения. Основные размеры</w:t>
      </w:r>
      <w:r w:rsidRPr="0021650D">
        <w:rPr>
          <w:rFonts w:eastAsia="Times New Roman"/>
          <w:bCs/>
          <w:kern w:val="2"/>
          <w:sz w:val="24"/>
          <w:szCs w:val="24"/>
          <w:lang w:eastAsia="ar-SA" w:bidi="hi-IN"/>
        </w:rPr>
        <w:t>».</w:t>
      </w:r>
    </w:p>
    <w:p w:rsidR="0021650D" w:rsidRPr="0021650D" w:rsidRDefault="0021650D" w:rsidP="005A6531">
      <w:pPr>
        <w:overflowPunct w:val="0"/>
        <w:spacing w:after="0" w:line="240" w:lineRule="auto"/>
        <w:ind w:left="-567"/>
        <w:jc w:val="both"/>
        <w:rPr>
          <w:rFonts w:eastAsia="Times New Roman"/>
          <w:b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ru-RU" w:bidi="hi-IN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Договора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>:</w:t>
      </w:r>
    </w:p>
    <w:p w:rsidR="0021650D" w:rsidRPr="0021650D" w:rsidRDefault="0021650D" w:rsidP="005A6531">
      <w:pPr>
        <w:widowControl w:val="0"/>
        <w:tabs>
          <w:tab w:val="left" w:pos="567"/>
        </w:tabs>
        <w:overflowPunct w:val="0"/>
        <w:autoSpaceDE w:val="0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21650D">
        <w:rPr>
          <w:rFonts w:eastAsia="Times New Roman"/>
          <w:sz w:val="24"/>
          <w:szCs w:val="24"/>
          <w:lang w:eastAsia="ru-RU"/>
        </w:rPr>
        <w:t>Поставка Товара (включая сборку и монтаж) осуществляется по адресу:</w:t>
      </w:r>
      <w:r w:rsidRPr="0021650D">
        <w:rPr>
          <w:rFonts w:eastAsia="Times New Roman"/>
          <w:b/>
          <w:sz w:val="24"/>
          <w:szCs w:val="24"/>
          <w:lang w:eastAsia="ru-RU"/>
        </w:rPr>
        <w:t xml:space="preserve"> г. Москва, ул. Профсоюзная, д. 65, ИПУ РАН.</w:t>
      </w:r>
    </w:p>
    <w:p w:rsidR="008A37EC" w:rsidRDefault="0021650D" w:rsidP="005A6531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21650D">
        <w:rPr>
          <w:rFonts w:eastAsia="Calibri"/>
          <w:sz w:val="24"/>
          <w:szCs w:val="24"/>
          <w:lang w:eastAsia="ar-SA"/>
        </w:rPr>
        <w:t xml:space="preserve">Поставщик обязан согласовать с Заказчиком точное время и конкретную дату замера                              и поставки. Поставка Товара должна осуществляться в рабочие дни </w:t>
      </w:r>
      <w:r w:rsidR="008A37EC" w:rsidRPr="008A37EC">
        <w:rPr>
          <w:rFonts w:eastAsia="Calibri"/>
          <w:sz w:val="24"/>
          <w:szCs w:val="24"/>
          <w:lang w:eastAsia="ar-SA"/>
        </w:rPr>
        <w:t>в рабочие дни: с понедельника по четверг с 09.30 часов до 17.00 часов (время московское), в пятницу с 09.30 часов до 16.00 часов (время московское).</w:t>
      </w:r>
    </w:p>
    <w:p w:rsidR="0021650D" w:rsidRPr="0021650D" w:rsidRDefault="0021650D" w:rsidP="005A6531">
      <w:pPr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Times New Roman"/>
          <w:kern w:val="2"/>
          <w:sz w:val="24"/>
          <w:szCs w:val="24"/>
          <w:lang w:eastAsia="ru-RU" w:bidi="hi-IN"/>
        </w:rPr>
        <w:tab/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Срок поставки Товара (включая сборку и монтаж) </w:t>
      </w:r>
      <w:r w:rsidRPr="0021650D">
        <w:rPr>
          <w:rFonts w:eastAsia="Times New Roman" w:hint="eastAsia"/>
          <w:b/>
          <w:kern w:val="2"/>
          <w:sz w:val="24"/>
          <w:szCs w:val="24"/>
          <w:lang w:eastAsia="ru-RU" w:bidi="hi-IN"/>
        </w:rPr>
        <w:t>в течение 21 (двадцати одного) рабочего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 </w:t>
      </w:r>
      <w:r w:rsidRPr="0021650D">
        <w:rPr>
          <w:rFonts w:eastAsia="Times New Roman" w:hint="eastAsia"/>
          <w:b/>
          <w:kern w:val="2"/>
          <w:sz w:val="24"/>
          <w:szCs w:val="24"/>
          <w:lang w:eastAsia="ru-RU" w:bidi="hi-IN"/>
        </w:rPr>
        <w:t>дня</w:t>
      </w:r>
      <w:r w:rsidRPr="0021650D">
        <w:rPr>
          <w:rFonts w:eastAsia="Times New Roman" w:hint="eastAsia"/>
          <w:kern w:val="2"/>
          <w:sz w:val="24"/>
          <w:szCs w:val="24"/>
          <w:lang w:eastAsia="ru-RU" w:bidi="hi-IN"/>
        </w:rPr>
        <w:t xml:space="preserve"> с даты заключения Договора.</w:t>
      </w:r>
    </w:p>
    <w:p w:rsidR="0021650D" w:rsidRPr="0021650D" w:rsidRDefault="0021650D" w:rsidP="005A653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21650D">
        <w:rPr>
          <w:rFonts w:eastAsia="Calibri"/>
          <w:b/>
          <w:kern w:val="2"/>
          <w:sz w:val="24"/>
          <w:szCs w:val="24"/>
          <w:lang w:eastAsia="ru-RU" w:bidi="hi-IN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</w:t>
      </w: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 xml:space="preserve">: </w:t>
      </w:r>
      <w:r w:rsidRPr="0021650D">
        <w:rPr>
          <w:rFonts w:eastAsia="Times New Roman"/>
          <w:kern w:val="2"/>
          <w:sz w:val="24"/>
          <w:szCs w:val="24"/>
          <w:lang w:eastAsia="ru-RU" w:bidi="hi-IN"/>
        </w:rPr>
        <w:t>в соответствии с условиями Договора.</w:t>
      </w:r>
    </w:p>
    <w:p w:rsidR="0021650D" w:rsidRPr="0021650D" w:rsidRDefault="0021650D" w:rsidP="005A6531">
      <w:pPr>
        <w:suppressAutoHyphens/>
        <w:overflowPunct w:val="0"/>
        <w:spacing w:after="0" w:line="240" w:lineRule="auto"/>
        <w:ind w:left="-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21650D">
        <w:rPr>
          <w:rFonts w:eastAsia="Times New Roman"/>
          <w:b/>
          <w:kern w:val="2"/>
          <w:sz w:val="24"/>
          <w:szCs w:val="24"/>
          <w:lang w:eastAsia="ru-RU" w:bidi="hi-IN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21650D" w:rsidRPr="0021650D" w:rsidRDefault="0021650D" w:rsidP="005A6531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3"/>
          <w:szCs w:val="24"/>
          <w:lang w:eastAsia="ru-RU"/>
        </w:rPr>
      </w:pPr>
      <w:r w:rsidRPr="0021650D">
        <w:rPr>
          <w:rFonts w:eastAsia="Times New Roman"/>
          <w:sz w:val="23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</w:t>
      </w:r>
      <w:proofErr w:type="gramStart"/>
      <w:r w:rsidRPr="0021650D">
        <w:rPr>
          <w:rFonts w:eastAsia="Times New Roman"/>
          <w:sz w:val="23"/>
          <w:szCs w:val="24"/>
          <w:lang w:eastAsia="ru-RU"/>
        </w:rPr>
        <w:t xml:space="preserve">товара,   </w:t>
      </w:r>
      <w:proofErr w:type="gramEnd"/>
      <w:r w:rsidRPr="0021650D">
        <w:rPr>
          <w:rFonts w:eastAsia="Times New Roman"/>
          <w:sz w:val="23"/>
          <w:szCs w:val="24"/>
          <w:lang w:eastAsia="ru-RU"/>
        </w:rPr>
        <w:t xml:space="preserve">                      о размере, об упаковке, отгрузке товара и иные сведения о товаре (Приложение к Техническому заданию) и Спецификации на поставку </w:t>
      </w:r>
      <w:r w:rsidRPr="0021650D">
        <w:rPr>
          <w:rFonts w:eastAsia="Times New Roman" w:hint="eastAsia"/>
          <w:sz w:val="23"/>
          <w:szCs w:val="24"/>
          <w:lang w:eastAsia="ru-RU"/>
        </w:rPr>
        <w:t>холодильного оборудования для отдела питания ИПУ РАН</w:t>
      </w:r>
      <w:r w:rsidRPr="0021650D">
        <w:rPr>
          <w:rFonts w:eastAsia="Times New Roman"/>
          <w:sz w:val="23"/>
          <w:szCs w:val="24"/>
          <w:lang w:eastAsia="ru-RU"/>
        </w:rPr>
        <w:t xml:space="preserve"> (Приложение к </w:t>
      </w:r>
      <w:r w:rsidRPr="0021650D">
        <w:rPr>
          <w:rFonts w:eastAsia="Times New Roman" w:hint="eastAsia"/>
          <w:sz w:val="23"/>
          <w:szCs w:val="24"/>
          <w:lang w:eastAsia="ru-RU"/>
        </w:rPr>
        <w:t>Договору</w:t>
      </w:r>
      <w:r w:rsidRPr="0021650D">
        <w:rPr>
          <w:rFonts w:eastAsia="Times New Roman"/>
          <w:sz w:val="23"/>
          <w:szCs w:val="24"/>
          <w:lang w:eastAsia="ru-RU"/>
        </w:rPr>
        <w:t>).</w:t>
      </w:r>
    </w:p>
    <w:p w:rsidR="0021650D" w:rsidRPr="0021650D" w:rsidRDefault="0021650D" w:rsidP="005A6531">
      <w:pPr>
        <w:overflowPunct w:val="0"/>
        <w:spacing w:after="0" w:line="240" w:lineRule="auto"/>
        <w:ind w:left="-567"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</w:p>
    <w:p w:rsidR="0021650D" w:rsidRPr="0021650D" w:rsidRDefault="0021650D" w:rsidP="005A6531">
      <w:pPr>
        <w:spacing w:after="0" w:line="360" w:lineRule="auto"/>
        <w:ind w:left="-567"/>
        <w:rPr>
          <w:rFonts w:eastAsia="Calibri"/>
          <w:b/>
          <w:sz w:val="24"/>
          <w:szCs w:val="26"/>
          <w:lang w:eastAsia="ar-SA"/>
        </w:rPr>
      </w:pPr>
      <w:r w:rsidRPr="0021650D">
        <w:rPr>
          <w:rFonts w:eastAsia="Calibri"/>
          <w:b/>
          <w:sz w:val="24"/>
          <w:szCs w:val="26"/>
          <w:lang w:eastAsia="ar-SA"/>
        </w:rPr>
        <w:t xml:space="preserve">Заведующий ОМТС                                                                                  </w:t>
      </w:r>
      <w:r w:rsidR="005A6531">
        <w:rPr>
          <w:rFonts w:eastAsia="Calibri"/>
          <w:b/>
          <w:sz w:val="24"/>
          <w:szCs w:val="26"/>
          <w:lang w:eastAsia="ar-SA"/>
        </w:rPr>
        <w:t xml:space="preserve">                    </w:t>
      </w:r>
      <w:r w:rsidRPr="0021650D">
        <w:rPr>
          <w:rFonts w:eastAsia="Calibri"/>
          <w:b/>
          <w:sz w:val="24"/>
          <w:szCs w:val="26"/>
          <w:lang w:eastAsia="ar-SA"/>
        </w:rPr>
        <w:t>С.В. Матвеева</w:t>
      </w:r>
    </w:p>
    <w:p w:rsidR="005A6531" w:rsidRDefault="005A6531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  <w:sectPr w:rsidR="005A6531" w:rsidSect="005A6531">
          <w:footerReference w:type="default" r:id="rId6"/>
          <w:pgSz w:w="11906" w:h="16838"/>
          <w:pgMar w:top="1134" w:right="851" w:bottom="568" w:left="1701" w:header="680" w:footer="227" w:gutter="0"/>
          <w:cols w:space="708"/>
          <w:titlePg/>
          <w:docGrid w:linePitch="381"/>
        </w:sectPr>
      </w:pPr>
    </w:p>
    <w:p w:rsidR="0021650D" w:rsidRPr="0021650D" w:rsidRDefault="0021650D" w:rsidP="0021650D">
      <w:pPr>
        <w:widowControl w:val="0"/>
        <w:autoSpaceDE w:val="0"/>
        <w:spacing w:after="0" w:line="240" w:lineRule="auto"/>
        <w:jc w:val="both"/>
        <w:rPr>
          <w:rFonts w:eastAsia="Calibri"/>
          <w:b/>
          <w:sz w:val="24"/>
          <w:szCs w:val="26"/>
          <w:lang w:eastAsia="ar-SA"/>
        </w:rPr>
      </w:pPr>
    </w:p>
    <w:p w:rsidR="0021650D" w:rsidRPr="005A6531" w:rsidRDefault="0021650D" w:rsidP="0021650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5A6531">
        <w:rPr>
          <w:rFonts w:eastAsia="Times New Roman"/>
          <w:sz w:val="24"/>
          <w:szCs w:val="24"/>
          <w:lang w:eastAsia="ru-RU"/>
        </w:rPr>
        <w:t xml:space="preserve">Приложение к Техническому заданию </w:t>
      </w:r>
    </w:p>
    <w:p w:rsidR="0021650D" w:rsidRPr="005A6531" w:rsidRDefault="0021650D" w:rsidP="0021650D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Calibri"/>
          <w:sz w:val="24"/>
          <w:szCs w:val="24"/>
          <w:lang w:eastAsia="ar-SA"/>
        </w:rPr>
        <w:t xml:space="preserve"> </w:t>
      </w:r>
    </w:p>
    <w:p w:rsidR="0021650D" w:rsidRPr="005A6531" w:rsidRDefault="0021650D" w:rsidP="0021650D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21650D" w:rsidRPr="005A6531" w:rsidRDefault="0021650D" w:rsidP="0021650D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A6531">
        <w:rPr>
          <w:rFonts w:eastAsia="Times New Roman"/>
          <w:b/>
          <w:sz w:val="24"/>
          <w:szCs w:val="24"/>
          <w:lang w:eastAsia="ru-RU"/>
        </w:rPr>
        <w:t xml:space="preserve">(потребительских свойствах) товара, </w:t>
      </w:r>
      <w:r w:rsidRPr="005A6531">
        <w:rPr>
          <w:rFonts w:eastAsia="Times New Roman" w:hint="eastAsia"/>
          <w:b/>
          <w:sz w:val="24"/>
          <w:szCs w:val="24"/>
          <w:lang w:eastAsia="ru-RU"/>
        </w:rPr>
        <w:t>о размере, об упаковке, отгрузке товара и иные сведения о товаре</w:t>
      </w:r>
    </w:p>
    <w:p w:rsidR="0021650D" w:rsidRPr="0021650D" w:rsidRDefault="0021650D" w:rsidP="0021650D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tbl>
      <w:tblPr>
        <w:tblpPr w:leftFromText="180" w:rightFromText="180" w:vertAnchor="text" w:tblpY="1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195"/>
        <w:gridCol w:w="2031"/>
        <w:gridCol w:w="3665"/>
        <w:gridCol w:w="3240"/>
        <w:gridCol w:w="3043"/>
      </w:tblGrid>
      <w:tr w:rsidR="0021650D" w:rsidRPr="0021650D" w:rsidTr="0021650D">
        <w:trPr>
          <w:trHeight w:val="331"/>
        </w:trPr>
        <w:tc>
          <w:tcPr>
            <w:tcW w:w="731" w:type="dxa"/>
            <w:vMerge w:val="restart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95" w:type="dxa"/>
            <w:vMerge w:val="restart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Указание на товарный знак (модель, производитель)</w:t>
            </w:r>
          </w:p>
        </w:tc>
        <w:tc>
          <w:tcPr>
            <w:tcW w:w="9948" w:type="dxa"/>
            <w:gridSpan w:val="3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21650D" w:rsidRPr="0021650D" w:rsidTr="0021650D">
        <w:trPr>
          <w:trHeight w:val="650"/>
        </w:trPr>
        <w:tc>
          <w:tcPr>
            <w:tcW w:w="731" w:type="dxa"/>
            <w:vMerge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shd w:val="clear" w:color="000000" w:fill="FFFFFF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Требуемый параметр</w:t>
            </w: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Требуемое значение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sz w:val="24"/>
                <w:szCs w:val="24"/>
                <w:lang w:eastAsia="ar-SA"/>
              </w:rPr>
              <w:t>Значение, предлагаемое участником</w:t>
            </w:r>
          </w:p>
        </w:tc>
      </w:tr>
      <w:tr w:rsidR="0021650D" w:rsidRPr="0021650D" w:rsidTr="0021650D">
        <w:trPr>
          <w:trHeight w:val="127"/>
        </w:trPr>
        <w:tc>
          <w:tcPr>
            <w:tcW w:w="731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65" w:type="dxa"/>
            <w:shd w:val="clear" w:color="000000" w:fill="FFFFFF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5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Камера </w:t>
            </w:r>
            <w:proofErr w:type="gram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холодильная  сборная</w:t>
            </w:r>
            <w:proofErr w:type="gramEnd"/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ОКПД 2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28.25.13.112 - Камеры холодильные сборные</w:t>
            </w: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, Россия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КХН 8,26 </w:t>
            </w: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или аналог с характеристиками не хуже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модульная сборно-разборная конструкция из сэндвич-панелей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предназначена для поддержания температуры, создаваемой внутри камер холодильными машинами, применяется для хранения пищевых продуктов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ШхДхВ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1700х2900х2240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hRule="exact" w:val="63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Размеры светового проема двери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ВхШ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800х1850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hRule="exact" w:val="63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Допуск по размерам, мм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± 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Объем камеры, м</w:t>
            </w:r>
            <w:r w:rsidRPr="0021650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[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8,26</w:t>
            </w: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]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5A6531">
        <w:trPr>
          <w:trHeight w:val="1597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Функция «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перенавешивание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двери»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двери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дверной блок универсальный с распашной дверью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сэндвич-панелей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3-х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слойные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: оцинкованная сталь с полимерным покрытием + ППУ, по торцам ударопрочный, морозостойкий ПВХ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Толщина сэндвич панелей,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Материал теплоизоляции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2-х компонентный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пенополиуретан</w:t>
            </w:r>
            <w:proofErr w:type="spellEnd"/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соединения панелей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«Шип-паз»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5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Сплит-система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ОКПД 2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bCs/>
                <w:sz w:val="24"/>
                <w:szCs w:val="24"/>
                <w:lang w:eastAsia="ar-SA"/>
              </w:rPr>
              <w:t>28.25.12.110 - Кондиционеры промышленные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 w:val="restart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val="en-US"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, Россия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POLAIR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SB 214 Р или аналог с характеристиками не хуже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высокотехнологичная сплит-система с муфтовым соединением выхода блока и соединительных трубок, воздухоохладителем новой конструкции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предназначена для поддержания необходимого температурного режима в холодильной камере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низкотемпературная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Температурный режим, °C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≥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-18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Вид хладагента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R 404a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Клапан Шредера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Количество вентиляторов воздухоохладителя,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Количество вентиляторов конденсатора,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Производительность, м</w:t>
            </w:r>
            <w:r w:rsidRPr="0021650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3/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kern w:val="2"/>
                <w:sz w:val="24"/>
                <w:szCs w:val="24"/>
                <w:lang w:val="en-US" w:eastAsia="ru-RU" w:bidi="hi-IN"/>
              </w:rPr>
              <w:t>≥</w:t>
            </w:r>
            <w:r w:rsidRPr="0021650D">
              <w:rPr>
                <w:rFonts w:eastAsia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Потребляемая мощность, кВт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Управление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электронный блок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Напряжение в сети, в/ф/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гц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380/3/50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Тип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оттайки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автоматическая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ТЭНом</w:t>
            </w:r>
            <w:proofErr w:type="spellEnd"/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Тип установки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стена/потолок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внутреннего блока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ДхШхВ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1050х510х620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Габаритные размеры внешнего блока (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ДхШхВ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), мм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 w:hint="eastAsia"/>
                <w:sz w:val="24"/>
                <w:szCs w:val="24"/>
                <w:lang w:eastAsia="ar-SA"/>
              </w:rPr>
              <w:t>≤</w:t>
            </w: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860х320х710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21650D">
        <w:trPr>
          <w:trHeight w:val="316"/>
        </w:trPr>
        <w:tc>
          <w:tcPr>
            <w:tcW w:w="7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Материал корпуса блоков</w:t>
            </w:r>
          </w:p>
        </w:tc>
        <w:tc>
          <w:tcPr>
            <w:tcW w:w="3240" w:type="dxa"/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оцинкованная сталь с полимерным покрытием</w:t>
            </w:r>
          </w:p>
        </w:tc>
        <w:tc>
          <w:tcPr>
            <w:tcW w:w="3043" w:type="dxa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1650D" w:rsidRPr="0021650D" w:rsidTr="005A6531">
        <w:trPr>
          <w:trHeight w:val="316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Комплектация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 компрессорно-конденсаторный (внешний) блок, заправленный сухим азотом;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 воздухоохладитель (внутренний блок), заправленный сухим азотом;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- распределительная коробка с модифицированными </w:t>
            </w:r>
            <w:proofErr w:type="spellStart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>клеммными</w:t>
            </w:r>
            <w:proofErr w:type="spellEnd"/>
            <w:r w:rsidRPr="0021650D">
              <w:rPr>
                <w:rFonts w:eastAsia="Times New Roman"/>
                <w:sz w:val="24"/>
                <w:szCs w:val="24"/>
                <w:lang w:eastAsia="ar-SA"/>
              </w:rPr>
              <w:t xml:space="preserve"> колодками;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комплект медных трубок и термоизоляции (длиной не менее 15 м);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дренажная трубка (длиной не менее 1 м);</w:t>
            </w:r>
          </w:p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1650D">
              <w:rPr>
                <w:rFonts w:eastAsia="Times New Roman"/>
                <w:sz w:val="24"/>
                <w:szCs w:val="24"/>
                <w:lang w:eastAsia="ar-SA"/>
              </w:rPr>
              <w:t>- контроллер с дистанционным пультом управления (для размещения панели управления на некотором расстоянии от сплит-системы)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1650D" w:rsidRPr="0021650D" w:rsidRDefault="0021650D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A6531" w:rsidRPr="0021650D" w:rsidTr="005A6531">
        <w:trPr>
          <w:trHeight w:val="316"/>
        </w:trPr>
        <w:tc>
          <w:tcPr>
            <w:tcW w:w="14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531" w:rsidRDefault="005A6531" w:rsidP="005A65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5A6531" w:rsidRPr="005A6531" w:rsidRDefault="005A6531" w:rsidP="005A653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6531">
              <w:rPr>
                <w:rFonts w:eastAsia="Times New Roman"/>
                <w:bCs/>
                <w:sz w:val="24"/>
                <w:szCs w:val="24"/>
                <w:lang w:eastAsia="ar-SA"/>
              </w:rPr>
              <w:t>Зам. зав. ОМТС                                                                                                                                                                         Омельченко Т.В.</w:t>
            </w:r>
          </w:p>
          <w:p w:rsidR="005A6531" w:rsidRPr="0021650D" w:rsidRDefault="005A6531" w:rsidP="002165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21650D" w:rsidRPr="0021650D" w:rsidRDefault="0021650D" w:rsidP="005A653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21650D" w:rsidRPr="0021650D" w:rsidSect="00216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31" w:rsidRDefault="005A6531" w:rsidP="005A6531">
      <w:pPr>
        <w:spacing w:after="0" w:line="240" w:lineRule="auto"/>
      </w:pPr>
      <w:r>
        <w:separator/>
      </w:r>
    </w:p>
  </w:endnote>
  <w:endnote w:type="continuationSeparator" w:id="0">
    <w:p w:rsidR="005A6531" w:rsidRDefault="005A6531" w:rsidP="005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089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6531" w:rsidRPr="005A6531" w:rsidRDefault="005A6531">
        <w:pPr>
          <w:pStyle w:val="a6"/>
          <w:jc w:val="center"/>
          <w:rPr>
            <w:sz w:val="20"/>
            <w:szCs w:val="20"/>
          </w:rPr>
        </w:pPr>
        <w:r w:rsidRPr="005A6531">
          <w:rPr>
            <w:sz w:val="20"/>
            <w:szCs w:val="20"/>
          </w:rPr>
          <w:fldChar w:fldCharType="begin"/>
        </w:r>
        <w:r w:rsidRPr="005A6531">
          <w:rPr>
            <w:sz w:val="20"/>
            <w:szCs w:val="20"/>
          </w:rPr>
          <w:instrText>PAGE   \* MERGEFORMAT</w:instrText>
        </w:r>
        <w:r w:rsidRPr="005A653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5A65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31" w:rsidRDefault="005A6531" w:rsidP="005A6531">
      <w:pPr>
        <w:spacing w:after="0" w:line="240" w:lineRule="auto"/>
      </w:pPr>
      <w:r>
        <w:separator/>
      </w:r>
    </w:p>
  </w:footnote>
  <w:footnote w:type="continuationSeparator" w:id="0">
    <w:p w:rsidR="005A6531" w:rsidRDefault="005A6531" w:rsidP="005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6"/>
    <w:rsid w:val="0021650D"/>
    <w:rsid w:val="005A6531"/>
    <w:rsid w:val="008A37EC"/>
    <w:rsid w:val="00AE0716"/>
    <w:rsid w:val="00F043AA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70F2-07C0-4F87-8D5B-969DBDB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650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1"/>
  </w:style>
  <w:style w:type="paragraph" w:styleId="a6">
    <w:name w:val="footer"/>
    <w:basedOn w:val="a"/>
    <w:link w:val="a7"/>
    <w:uiPriority w:val="99"/>
    <w:unhideWhenUsed/>
    <w:rsid w:val="005A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2023-05-15T09:18:00Z</dcterms:created>
  <dcterms:modified xsi:type="dcterms:W3CDTF">2023-05-15T12:06:00Z</dcterms:modified>
</cp:coreProperties>
</file>